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3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Cibus,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40"/>
          </w:cols>
          <w:pgMar w:left="320" w:top="1280" w:right="339" w:bottom="1440" w:gutter="0" w:footer="0" w:header="0"/>
        </w:sectPr>
      </w:pPr>
    </w:p>
    <w:p>
      <w:pPr>
        <w:spacing w:after="0" w:line="21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001-38161</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27-1967997</w:t>
      </w:r>
    </w:p>
    <w:p>
      <w:pPr>
        <w:spacing w:after="0" w:line="12" w:lineRule="exact"/>
        <w:rPr>
          <w:sz w:val="24"/>
          <w:szCs w:val="24"/>
          <w:color w:val="auto"/>
        </w:rPr>
      </w:pPr>
    </w:p>
    <w:p>
      <w:pPr>
        <w:sectPr>
          <w:pgSz w:w="11900" w:h="16838" w:orient="portrait"/>
          <w:cols w:equalWidth="0" w:num="3">
            <w:col w:w="4500" w:space="720"/>
            <w:col w:w="2980" w:space="720"/>
            <w:col w:w="232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13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6455 Nancy Ridge Drive</w:t>
      </w:r>
    </w:p>
    <w:p>
      <w:pPr>
        <w:spacing w:after="0" w:line="3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47"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1280" w:right="339"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450-0008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60" w:hanging="36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560" w:hanging="36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560" w:hanging="36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560" w:hanging="36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190"/>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r>
      <w:tr>
        <w:trPr>
          <w:trHeight w:val="236"/>
        </w:trPr>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CBUS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 2026, Cibus, Inc., (the “Company”) held its 2026 Annual Meeting of Stockholders (the “Annual Meeting”). Of the 76,345,736 shares of Class A Common Stock, $0.0001 par value per share (“Class A Common Stock”) (including 62,641 restricted shares of Class A Common Stock that remain subject to vesting) and no shares of Class B Common Stock, par value $0.0001 per share, outstanding and entitled to vote at the Annual Meeting on the April 6, 2026 record date, 53,072,072 shares, or approximately 69.52%, were present at the Annual Meeting either by attendance via online webcast or represented by proxy, constituting a quorum.</w:t>
      </w:r>
    </w:p>
    <w:p>
      <w:pPr>
        <w:spacing w:after="0" w:line="19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following describes the matters considered by the Company’s stockholders at the Annual Meeting, as well as the results of the votes cast at the meeting:</w:t>
      </w:r>
    </w:p>
    <w:p>
      <w:pPr>
        <w:spacing w:after="0" w:line="189" w:lineRule="exact"/>
        <w:rPr>
          <w:sz w:val="20"/>
          <w:szCs w:val="20"/>
          <w:color w:val="auto"/>
        </w:rPr>
      </w:pPr>
    </w:p>
    <w:p>
      <w:pPr>
        <w:ind w:right="460"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our Board of Directors, each to serve until the next annual meeting of stockholders and until his or her successor has been elected and qualified, or until his or her earlier death, resignation, or removal.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8"/>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Finn</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22,401,892</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140,761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146,090</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2"/>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Peter Beetham</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22,509,475</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94,295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84,973</w:t>
            </w:r>
          </w:p>
        </w:tc>
        <w:tc>
          <w:tcPr>
            <w:tcW w:w="8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Kimberly A. Box</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22,592,926</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58,874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36,943</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Jean-Pierre Lehmann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22,516,810</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139,956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31,977</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Moretti</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22,552,460</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88,895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47,388</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Gerhard Prante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22,444,612</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211,345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32,786</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Rory Riggs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22,478,028</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137,007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73,708</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Thomas Urban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22,643,935</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12,213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32,595</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r>
        <w:trPr>
          <w:trHeight w:val="25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Craig Wichner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22,591,365</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64,777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32,601</w:t>
            </w:r>
          </w:p>
        </w:tc>
        <w:tc>
          <w:tcPr>
            <w:tcW w:w="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30,383,329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approve, on an advisory basis, the compensation of the Company’s Named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22,117,686</w:t>
            </w:r>
          </w:p>
        </w:tc>
        <w:tc>
          <w:tcPr>
            <w:tcW w:w="80" w:type="dxa"/>
            <w:vAlign w:val="bottom"/>
          </w:tcPr>
          <w:p>
            <w:pPr>
              <w:spacing w:after="0"/>
              <w:rPr>
                <w:sz w:val="19"/>
                <w:szCs w:val="19"/>
                <w:color w:val="auto"/>
              </w:rPr>
            </w:pPr>
          </w:p>
        </w:tc>
        <w:tc>
          <w:tcPr>
            <w:tcW w:w="270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rPr>
              <w:t>167,944</w:t>
            </w:r>
          </w:p>
        </w:tc>
        <w:tc>
          <w:tcPr>
            <w:tcW w:w="100" w:type="dxa"/>
            <w:vAlign w:val="bottom"/>
          </w:tcPr>
          <w:p>
            <w:pPr>
              <w:spacing w:after="0"/>
              <w:rPr>
                <w:sz w:val="19"/>
                <w:szCs w:val="19"/>
                <w:color w:val="auto"/>
              </w:rPr>
            </w:pPr>
          </w:p>
        </w:tc>
        <w:tc>
          <w:tcPr>
            <w:tcW w:w="272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rPr>
              <w:t>403,113</w:t>
            </w:r>
          </w:p>
        </w:tc>
        <w:tc>
          <w:tcPr>
            <w:tcW w:w="100" w:type="dxa"/>
            <w:vAlign w:val="bottom"/>
          </w:tcPr>
          <w:p>
            <w:pPr>
              <w:spacing w:after="0"/>
              <w:rPr>
                <w:sz w:val="19"/>
                <w:szCs w:val="19"/>
                <w:color w:val="auto"/>
              </w:rPr>
            </w:pPr>
          </w:p>
        </w:tc>
        <w:tc>
          <w:tcPr>
            <w:tcW w:w="28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30,383,329</w:t>
            </w:r>
          </w:p>
        </w:tc>
      </w:tr>
    </w:tbl>
    <w:p>
      <w:pPr>
        <w:spacing w:after="0" w:line="328" w:lineRule="exact"/>
        <w:rPr>
          <w:sz w:val="20"/>
          <w:szCs w:val="20"/>
          <w:color w:val="auto"/>
        </w:rPr>
      </w:pPr>
    </w:p>
    <w:p>
      <w:pPr>
        <w:ind w:right="780" w:firstLine="8"/>
        <w:spacing w:after="0" w:line="26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BDO USA, P.C. as our independent registered public accounting firm for the year ending December 31,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0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53,014,318</w:t>
            </w:r>
          </w:p>
        </w:tc>
        <w:tc>
          <w:tcPr>
            <w:tcW w:w="100" w:type="dxa"/>
            <w:vAlign w:val="bottom"/>
          </w:tcPr>
          <w:p>
            <w:pPr>
              <w:spacing w:after="0"/>
              <w:rPr>
                <w:sz w:val="19"/>
                <w:szCs w:val="19"/>
                <w:color w:val="auto"/>
              </w:rPr>
            </w:pPr>
          </w:p>
        </w:tc>
        <w:tc>
          <w:tcPr>
            <w:tcW w:w="27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36,870</w:t>
            </w:r>
          </w:p>
        </w:tc>
        <w:tc>
          <w:tcPr>
            <w:tcW w:w="100" w:type="dxa"/>
            <w:vAlign w:val="bottom"/>
          </w:tcPr>
          <w:p>
            <w:pPr>
              <w:spacing w:after="0"/>
              <w:rPr>
                <w:sz w:val="19"/>
                <w:szCs w:val="19"/>
                <w:color w:val="auto"/>
              </w:rPr>
            </w:pPr>
          </w:p>
        </w:tc>
        <w:tc>
          <w:tcPr>
            <w:tcW w:w="27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20,884</w:t>
            </w:r>
          </w:p>
        </w:tc>
        <w:tc>
          <w:tcPr>
            <w:tcW w:w="1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4"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As a result, at the Annual Meeting, Mark Finn, Peter Beetham, Kimberly A. Box, Jean-Pierre Lehmann, August Moretti, Gerhard Prante, Rory Riggs, Thomas Urban, and Craig Wichner were elected as directors of the Company, each to serve a one-year term, the compensation of Company’s named executive officers was approved (on an advisory basis), and the appointment of BDO USA, P.C. was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1303020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Cibus, Inc.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3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CIBUS, INC.</w:t>
      </w:r>
    </w:p>
    <w:p>
      <w:pPr>
        <w:spacing w:after="0" w:line="229"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Beetham</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Beetham</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2026-06-05T07:47:47Z</dcterms:created>
  <dcterms:modified xsi:type="dcterms:W3CDTF">2026-06-05T07:47:47Z</dcterms:modified>
</cp:coreProperties>
</file>