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420"/>
        <w:spacing w:after="0"/>
        <w:rPr>
          <w:sz w:val="20"/>
          <w:szCs w:val="20"/>
          <w:color w:val="auto"/>
        </w:rPr>
      </w:pPr>
      <w:r>
        <w:rPr>
          <w:rFonts w:ascii="Times New Roman" w:cs="Times New Roman" w:eastAsia="Times New Roman" w:hAnsi="Times New Roman"/>
          <w:sz w:val="14"/>
          <w:szCs w:val="14"/>
          <w:b w:val="1"/>
          <w:bCs w:val="1"/>
          <w:color w:val="auto"/>
        </w:rPr>
        <w:t>As filed with the Securities and Exchange Commission on June 23, 2026</w:t>
      </w:r>
    </w:p>
    <w:p>
      <w:pPr>
        <w:spacing w:after="0" w:line="5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-669290</wp:posOffset>
            </wp:positionH>
            <wp:positionV relativeFrom="paragraph">
              <wp:posOffset>97155</wp:posOffset>
            </wp:positionV>
            <wp:extent cx="716153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-669290</wp:posOffset>
            </wp:positionH>
            <wp:positionV relativeFrom="paragraph">
              <wp:posOffset>117475</wp:posOffset>
            </wp:positionV>
            <wp:extent cx="71615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35"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4"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180975</wp:posOffset>
            </wp:positionV>
            <wp:extent cx="245237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52370" cy="6985"/>
                    </a:xfrm>
                    <a:prstGeom prst="rect">
                      <a:avLst/>
                    </a:prstGeom>
                    <a:noFill/>
                  </pic:spPr>
                </pic:pic>
              </a:graphicData>
            </a:graphic>
          </wp:anchor>
        </w:drawing>
      </w:r>
    </w:p>
    <w:p>
      <w:pPr>
        <w:spacing w:after="0" w:line="200" w:lineRule="exact"/>
        <w:rPr>
          <w:sz w:val="24"/>
          <w:szCs w:val="24"/>
          <w:color w:val="auto"/>
        </w:rPr>
      </w:pPr>
    </w:p>
    <w:p>
      <w:pPr>
        <w:spacing w:after="0" w:line="342" w:lineRule="exact"/>
        <w:rPr>
          <w:sz w:val="24"/>
          <w:szCs w:val="24"/>
          <w:color w:val="auto"/>
        </w:rPr>
      </w:pPr>
    </w:p>
    <w:tbl>
      <w:tblPr>
        <w:tblLayout w:type="fixed"/>
        <w:tblInd w:w="0" w:type="dxa"/>
        <w:tblCellMar>
          <w:top w:w="0" w:type="dxa"/>
          <w:left w:w="0" w:type="dxa"/>
          <w:bottom w:w="0" w:type="dxa"/>
          <w:right w:w="0" w:type="dxa"/>
        </w:tblCellMar>
      </w:tblPr>
      <w:tr>
        <w:trPr>
          <w:trHeight w:val="276"/>
        </w:trPr>
        <w:tc>
          <w:tcPr>
            <w:tcW w:w="2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840" w:type="dxa"/>
            <w:vAlign w:val="bottom"/>
            <w:gridSpan w:val="3"/>
          </w:tcPr>
          <w:p>
            <w:pPr>
              <w:jc w:val="center"/>
              <w:ind w:right="2203"/>
              <w:spacing w:after="0"/>
              <w:rPr>
                <w:sz w:val="20"/>
                <w:szCs w:val="20"/>
                <w:color w:val="auto"/>
              </w:rPr>
            </w:pPr>
            <w:r>
              <w:rPr>
                <w:rFonts w:ascii="Times New Roman" w:cs="Times New Roman" w:eastAsia="Times New Roman" w:hAnsi="Times New Roman"/>
                <w:sz w:val="23"/>
                <w:szCs w:val="23"/>
                <w:b w:val="1"/>
                <w:bCs w:val="1"/>
                <w:color w:val="auto"/>
                <w:w w:val="98"/>
              </w:rPr>
              <w:t>FORM S-8</w:t>
            </w:r>
          </w:p>
        </w:tc>
      </w:tr>
      <w:tr>
        <w:trPr>
          <w:trHeight w:val="281"/>
        </w:trPr>
        <w:tc>
          <w:tcPr>
            <w:tcW w:w="2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40" w:type="dxa"/>
            <w:vAlign w:val="bottom"/>
            <w:gridSpan w:val="3"/>
          </w:tcPr>
          <w:p>
            <w:pPr>
              <w:jc w:val="center"/>
              <w:ind w:right="2203"/>
              <w:spacing w:after="0"/>
              <w:rPr>
                <w:sz w:val="20"/>
                <w:szCs w:val="20"/>
                <w:color w:val="auto"/>
              </w:rPr>
            </w:pPr>
            <w:r>
              <w:rPr>
                <w:rFonts w:ascii="Times New Roman" w:cs="Times New Roman" w:eastAsia="Times New Roman" w:hAnsi="Times New Roman"/>
                <w:sz w:val="23"/>
                <w:szCs w:val="23"/>
                <w:b w:val="1"/>
                <w:bCs w:val="1"/>
                <w:color w:val="auto"/>
                <w:w w:val="96"/>
              </w:rPr>
              <w:t>REGISTRATION STATEMENT</w:t>
            </w:r>
          </w:p>
        </w:tc>
      </w:tr>
      <w:tr>
        <w:trPr>
          <w:trHeight w:val="212"/>
        </w:trPr>
        <w:tc>
          <w:tcPr>
            <w:tcW w:w="2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40" w:type="dxa"/>
            <w:vAlign w:val="bottom"/>
            <w:gridSpan w:val="3"/>
          </w:tcPr>
          <w:p>
            <w:pPr>
              <w:jc w:val="center"/>
              <w:ind w:right="2223"/>
              <w:spacing w:after="0"/>
              <w:rPr>
                <w:sz w:val="20"/>
                <w:szCs w:val="20"/>
                <w:color w:val="auto"/>
              </w:rPr>
            </w:pPr>
            <w:r>
              <w:rPr>
                <w:rFonts w:ascii="Times New Roman" w:cs="Times New Roman" w:eastAsia="Times New Roman" w:hAnsi="Times New Roman"/>
                <w:sz w:val="17"/>
                <w:szCs w:val="17"/>
                <w:b w:val="1"/>
                <w:bCs w:val="1"/>
                <w:i w:val="1"/>
                <w:iCs w:val="1"/>
                <w:color w:val="auto"/>
              </w:rPr>
              <w:t>UNDER</w:t>
            </w:r>
          </w:p>
        </w:tc>
      </w:tr>
      <w:tr>
        <w:trPr>
          <w:trHeight w:val="223"/>
        </w:trPr>
        <w:tc>
          <w:tcPr>
            <w:tcW w:w="2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40" w:type="dxa"/>
            <w:vAlign w:val="bottom"/>
            <w:gridSpan w:val="3"/>
          </w:tcPr>
          <w:p>
            <w:pPr>
              <w:jc w:val="center"/>
              <w:ind w:right="2203"/>
              <w:spacing w:after="0"/>
              <w:rPr>
                <w:sz w:val="20"/>
                <w:szCs w:val="20"/>
                <w:color w:val="auto"/>
              </w:rPr>
            </w:pPr>
            <w:r>
              <w:rPr>
                <w:rFonts w:ascii="Times New Roman" w:cs="Times New Roman" w:eastAsia="Times New Roman" w:hAnsi="Times New Roman"/>
                <w:sz w:val="17"/>
                <w:szCs w:val="17"/>
                <w:b w:val="1"/>
                <w:bCs w:val="1"/>
                <w:i w:val="1"/>
                <w:iCs w:val="1"/>
                <w:color w:val="auto"/>
                <w:w w:val="99"/>
              </w:rPr>
              <w:t>THE SECURITIES ACT OF 1933</w:t>
            </w:r>
          </w:p>
        </w:tc>
      </w:tr>
      <w:tr>
        <w:trPr>
          <w:trHeight w:val="141"/>
        </w:trPr>
        <w:tc>
          <w:tcPr>
            <w:tcW w:w="2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5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120" w:type="dxa"/>
            <w:vAlign w:val="bottom"/>
          </w:tcPr>
          <w:p>
            <w:pPr>
              <w:spacing w:after="0"/>
              <w:rPr>
                <w:sz w:val="12"/>
                <w:szCs w:val="12"/>
                <w:color w:val="auto"/>
              </w:rPr>
            </w:pPr>
          </w:p>
        </w:tc>
      </w:tr>
      <w:tr>
        <w:trPr>
          <w:trHeight w:val="589"/>
        </w:trPr>
        <w:tc>
          <w:tcPr>
            <w:tcW w:w="2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40" w:type="dxa"/>
            <w:vAlign w:val="bottom"/>
            <w:gridSpan w:val="3"/>
          </w:tcPr>
          <w:p>
            <w:pPr>
              <w:jc w:val="center"/>
              <w:ind w:right="2223"/>
              <w:spacing w:after="0"/>
              <w:rPr>
                <w:sz w:val="20"/>
                <w:szCs w:val="20"/>
                <w:color w:val="auto"/>
              </w:rPr>
            </w:pPr>
            <w:r>
              <w:rPr>
                <w:rFonts w:ascii="Times New Roman" w:cs="Times New Roman" w:eastAsia="Times New Roman" w:hAnsi="Times New Roman"/>
                <w:sz w:val="23"/>
                <w:szCs w:val="23"/>
                <w:b w:val="1"/>
                <w:bCs w:val="1"/>
                <w:color w:val="auto"/>
                <w:w w:val="97"/>
              </w:rPr>
              <w:t>Cibus, Inc.</w:t>
            </w:r>
          </w:p>
        </w:tc>
      </w:tr>
      <w:tr>
        <w:trPr>
          <w:trHeight w:val="186"/>
        </w:trPr>
        <w:tc>
          <w:tcPr>
            <w:tcW w:w="2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40" w:type="dxa"/>
            <w:vAlign w:val="bottom"/>
            <w:gridSpan w:val="3"/>
          </w:tcPr>
          <w:p>
            <w:pPr>
              <w:jc w:val="center"/>
              <w:ind w:right="2223"/>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r>
      <w:tr>
        <w:trPr>
          <w:trHeight w:val="149"/>
        </w:trPr>
        <w:tc>
          <w:tcPr>
            <w:tcW w:w="2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5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120" w:type="dxa"/>
            <w:vAlign w:val="bottom"/>
          </w:tcPr>
          <w:p>
            <w:pPr>
              <w:spacing w:after="0"/>
              <w:rPr>
                <w:sz w:val="12"/>
                <w:szCs w:val="12"/>
                <w:color w:val="auto"/>
              </w:rPr>
            </w:pPr>
          </w:p>
        </w:tc>
      </w:tr>
      <w:tr>
        <w:trPr>
          <w:trHeight w:val="599"/>
        </w:trPr>
        <w:tc>
          <w:tcPr>
            <w:tcW w:w="28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Delaware</w:t>
            </w:r>
          </w:p>
        </w:tc>
        <w:tc>
          <w:tcPr>
            <w:tcW w:w="5840" w:type="dxa"/>
            <w:vAlign w:val="bottom"/>
            <w:gridSpan w:val="3"/>
          </w:tcPr>
          <w:p>
            <w:pPr>
              <w:jc w:val="right"/>
              <w:ind w:right="483"/>
              <w:spacing w:after="0"/>
              <w:rPr>
                <w:sz w:val="20"/>
                <w:szCs w:val="20"/>
                <w:color w:val="auto"/>
              </w:rPr>
            </w:pPr>
            <w:r>
              <w:rPr>
                <w:rFonts w:ascii="Times New Roman" w:cs="Times New Roman" w:eastAsia="Times New Roman" w:hAnsi="Times New Roman"/>
                <w:sz w:val="11"/>
                <w:szCs w:val="11"/>
                <w:b w:val="1"/>
                <w:bCs w:val="1"/>
                <w:color w:val="auto"/>
              </w:rPr>
              <w:t>27-1967997</w:t>
            </w:r>
          </w:p>
        </w:tc>
      </w:tr>
      <w:tr>
        <w:trPr>
          <w:trHeight w:val="147"/>
        </w:trPr>
        <w:tc>
          <w:tcPr>
            <w:tcW w:w="28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rPr>
              <w:t>(State or other jurisdiction of incorporation or organization)</w:t>
            </w:r>
          </w:p>
        </w:tc>
        <w:tc>
          <w:tcPr>
            <w:tcW w:w="3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20" w:type="dxa"/>
            <w:vAlign w:val="bottom"/>
          </w:tcPr>
          <w:p>
            <w:pPr>
              <w:jc w:val="center"/>
              <w:ind w:left="423"/>
              <w:spacing w:after="0"/>
              <w:rPr>
                <w:sz w:val="20"/>
                <w:szCs w:val="20"/>
                <w:color w:val="auto"/>
              </w:rPr>
            </w:pPr>
            <w:r>
              <w:rPr>
                <w:rFonts w:ascii="Times New Roman" w:cs="Times New Roman" w:eastAsia="Times New Roman" w:hAnsi="Times New Roman"/>
                <w:sz w:val="11"/>
                <w:szCs w:val="11"/>
                <w:color w:val="auto"/>
              </w:rPr>
              <w:t>(I.R.S. Employer Identification No.)</w:t>
            </w:r>
          </w:p>
        </w:tc>
      </w:tr>
      <w:tr>
        <w:trPr>
          <w:trHeight w:val="359"/>
        </w:trPr>
        <w:tc>
          <w:tcPr>
            <w:tcW w:w="28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6455 Nancy Ridge Drive</w:t>
            </w:r>
          </w:p>
        </w:tc>
        <w:tc>
          <w:tcPr>
            <w:tcW w:w="5840" w:type="dxa"/>
            <w:vAlign w:val="bottom"/>
            <w:gridSpan w:val="3"/>
          </w:tcPr>
          <w:p>
            <w:pPr>
              <w:jc w:val="right"/>
              <w:ind w:right="623"/>
              <w:spacing w:after="0"/>
              <w:rPr>
                <w:sz w:val="20"/>
                <w:szCs w:val="20"/>
                <w:color w:val="auto"/>
              </w:rPr>
            </w:pPr>
            <w:r>
              <w:rPr>
                <w:rFonts w:ascii="Times New Roman" w:cs="Times New Roman" w:eastAsia="Times New Roman" w:hAnsi="Times New Roman"/>
                <w:sz w:val="11"/>
                <w:szCs w:val="11"/>
                <w:b w:val="1"/>
                <w:bCs w:val="1"/>
                <w:color w:val="auto"/>
              </w:rPr>
              <w:t>92121</w:t>
            </w:r>
          </w:p>
        </w:tc>
      </w:tr>
      <w:tr>
        <w:trPr>
          <w:trHeight w:val="149"/>
        </w:trPr>
        <w:tc>
          <w:tcPr>
            <w:tcW w:w="28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San Diego, CA</w:t>
            </w:r>
          </w:p>
        </w:tc>
        <w:tc>
          <w:tcPr>
            <w:tcW w:w="3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20" w:type="dxa"/>
            <w:vAlign w:val="bottom"/>
          </w:tcPr>
          <w:p>
            <w:pPr>
              <w:spacing w:after="0"/>
              <w:rPr>
                <w:sz w:val="12"/>
                <w:szCs w:val="12"/>
                <w:color w:val="auto"/>
              </w:rPr>
            </w:pPr>
          </w:p>
        </w:tc>
      </w:tr>
      <w:tr>
        <w:trPr>
          <w:trHeight w:val="150"/>
        </w:trPr>
        <w:tc>
          <w:tcPr>
            <w:tcW w:w="28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rPr>
              <w:t>(Address of Principal Executive Offices)</w:t>
            </w:r>
          </w:p>
        </w:tc>
        <w:tc>
          <w:tcPr>
            <w:tcW w:w="3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20" w:type="dxa"/>
            <w:vAlign w:val="bottom"/>
          </w:tcPr>
          <w:p>
            <w:pPr>
              <w:jc w:val="center"/>
              <w:ind w:left="423"/>
              <w:spacing w:after="0"/>
              <w:rPr>
                <w:sz w:val="20"/>
                <w:szCs w:val="20"/>
                <w:color w:val="auto"/>
              </w:rPr>
            </w:pPr>
            <w:r>
              <w:rPr>
                <w:rFonts w:ascii="Times New Roman" w:cs="Times New Roman" w:eastAsia="Times New Roman" w:hAnsi="Times New Roman"/>
                <w:sz w:val="11"/>
                <w:szCs w:val="11"/>
                <w:color w:val="auto"/>
                <w:w w:val="98"/>
              </w:rPr>
              <w:t>(Zip Code)</w:t>
            </w:r>
          </w:p>
        </w:tc>
      </w:tr>
      <w:tr>
        <w:trPr>
          <w:trHeight w:val="362"/>
        </w:trPr>
        <w:tc>
          <w:tcPr>
            <w:tcW w:w="2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40" w:type="dxa"/>
            <w:vAlign w:val="bottom"/>
            <w:gridSpan w:val="3"/>
          </w:tcPr>
          <w:p>
            <w:pPr>
              <w:jc w:val="center"/>
              <w:ind w:right="2203"/>
              <w:spacing w:after="0"/>
              <w:rPr>
                <w:sz w:val="20"/>
                <w:szCs w:val="20"/>
                <w:color w:val="auto"/>
              </w:rPr>
            </w:pPr>
            <w:r>
              <w:rPr>
                <w:rFonts w:ascii="Times New Roman" w:cs="Times New Roman" w:eastAsia="Times New Roman" w:hAnsi="Times New Roman"/>
                <w:sz w:val="11"/>
                <w:szCs w:val="11"/>
                <w:b w:val="1"/>
                <w:bCs w:val="1"/>
                <w:color w:val="auto"/>
              </w:rPr>
              <w:t>CIBUS, INC. 2017 OMNIBUS INCENTIVE PLAN</w:t>
            </w:r>
          </w:p>
        </w:tc>
      </w:tr>
      <w:tr>
        <w:trPr>
          <w:trHeight w:val="147"/>
        </w:trPr>
        <w:tc>
          <w:tcPr>
            <w:tcW w:w="2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40" w:type="dxa"/>
            <w:vAlign w:val="bottom"/>
            <w:gridSpan w:val="3"/>
          </w:tcPr>
          <w:p>
            <w:pPr>
              <w:jc w:val="center"/>
              <w:ind w:right="2203"/>
              <w:spacing w:after="0"/>
              <w:rPr>
                <w:sz w:val="20"/>
                <w:szCs w:val="20"/>
                <w:color w:val="auto"/>
              </w:rPr>
            </w:pPr>
            <w:r>
              <w:rPr>
                <w:rFonts w:ascii="Times New Roman" w:cs="Times New Roman" w:eastAsia="Times New Roman" w:hAnsi="Times New Roman"/>
                <w:sz w:val="11"/>
                <w:szCs w:val="11"/>
                <w:color w:val="auto"/>
              </w:rPr>
              <w:t>(Full title of the plan)</w:t>
            </w:r>
          </w:p>
        </w:tc>
      </w:tr>
      <w:tr>
        <w:trPr>
          <w:trHeight w:val="382"/>
        </w:trPr>
        <w:tc>
          <w:tcPr>
            <w:tcW w:w="2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40" w:type="dxa"/>
            <w:vAlign w:val="bottom"/>
            <w:gridSpan w:val="3"/>
          </w:tcPr>
          <w:p>
            <w:pPr>
              <w:jc w:val="center"/>
              <w:ind w:right="2203"/>
              <w:spacing w:after="0"/>
              <w:rPr>
                <w:sz w:val="20"/>
                <w:szCs w:val="20"/>
                <w:color w:val="auto"/>
              </w:rPr>
            </w:pPr>
            <w:r>
              <w:rPr>
                <w:rFonts w:ascii="Times New Roman" w:cs="Times New Roman" w:eastAsia="Times New Roman" w:hAnsi="Times New Roman"/>
                <w:sz w:val="11"/>
                <w:szCs w:val="11"/>
                <w:b w:val="1"/>
                <w:bCs w:val="1"/>
                <w:color w:val="auto"/>
              </w:rPr>
              <w:t>Jason Stokes</w:t>
            </w:r>
          </w:p>
        </w:tc>
      </w:tr>
      <w:tr>
        <w:trPr>
          <w:trHeight w:val="138"/>
        </w:trPr>
        <w:tc>
          <w:tcPr>
            <w:tcW w:w="2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40" w:type="dxa"/>
            <w:vAlign w:val="bottom"/>
            <w:gridSpan w:val="3"/>
          </w:tcPr>
          <w:p>
            <w:pPr>
              <w:jc w:val="center"/>
              <w:ind w:right="2223"/>
              <w:spacing w:after="0"/>
              <w:rPr>
                <w:sz w:val="20"/>
                <w:szCs w:val="20"/>
                <w:color w:val="auto"/>
              </w:rPr>
            </w:pPr>
            <w:r>
              <w:rPr>
                <w:rFonts w:ascii="Times New Roman" w:cs="Times New Roman" w:eastAsia="Times New Roman" w:hAnsi="Times New Roman"/>
                <w:sz w:val="11"/>
                <w:szCs w:val="11"/>
                <w:b w:val="1"/>
                <w:bCs w:val="1"/>
                <w:color w:val="auto"/>
              </w:rPr>
              <w:t>Chief Administrative Officer</w:t>
            </w:r>
          </w:p>
        </w:tc>
      </w:tr>
      <w:tr>
        <w:trPr>
          <w:trHeight w:val="138"/>
        </w:trPr>
        <w:tc>
          <w:tcPr>
            <w:tcW w:w="2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40" w:type="dxa"/>
            <w:vAlign w:val="bottom"/>
            <w:gridSpan w:val="3"/>
          </w:tcPr>
          <w:p>
            <w:pPr>
              <w:jc w:val="center"/>
              <w:ind w:right="2223"/>
              <w:spacing w:after="0"/>
              <w:rPr>
                <w:sz w:val="20"/>
                <w:szCs w:val="20"/>
                <w:color w:val="auto"/>
              </w:rPr>
            </w:pPr>
            <w:r>
              <w:rPr>
                <w:rFonts w:ascii="Times New Roman" w:cs="Times New Roman" w:eastAsia="Times New Roman" w:hAnsi="Times New Roman"/>
                <w:sz w:val="11"/>
                <w:szCs w:val="11"/>
                <w:b w:val="1"/>
                <w:bCs w:val="1"/>
                <w:color w:val="auto"/>
              </w:rPr>
              <w:t>6455 Nancy Ridge Drive</w:t>
            </w:r>
          </w:p>
        </w:tc>
      </w:tr>
      <w:tr>
        <w:trPr>
          <w:trHeight w:val="140"/>
        </w:trPr>
        <w:tc>
          <w:tcPr>
            <w:tcW w:w="2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40" w:type="dxa"/>
            <w:vAlign w:val="bottom"/>
            <w:gridSpan w:val="3"/>
          </w:tcPr>
          <w:p>
            <w:pPr>
              <w:jc w:val="center"/>
              <w:ind w:right="2203"/>
              <w:spacing w:after="0"/>
              <w:rPr>
                <w:sz w:val="20"/>
                <w:szCs w:val="20"/>
                <w:color w:val="auto"/>
              </w:rPr>
            </w:pPr>
            <w:r>
              <w:rPr>
                <w:rFonts w:ascii="Times New Roman" w:cs="Times New Roman" w:eastAsia="Times New Roman" w:hAnsi="Times New Roman"/>
                <w:sz w:val="11"/>
                <w:szCs w:val="11"/>
                <w:b w:val="1"/>
                <w:bCs w:val="1"/>
                <w:color w:val="auto"/>
              </w:rPr>
              <w:t>San Diego, CA 92121</w:t>
            </w:r>
          </w:p>
        </w:tc>
      </w:tr>
      <w:tr>
        <w:trPr>
          <w:trHeight w:val="147"/>
        </w:trPr>
        <w:tc>
          <w:tcPr>
            <w:tcW w:w="2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40" w:type="dxa"/>
            <w:vAlign w:val="bottom"/>
            <w:gridSpan w:val="3"/>
          </w:tcPr>
          <w:p>
            <w:pPr>
              <w:jc w:val="center"/>
              <w:ind w:right="2223"/>
              <w:spacing w:after="0"/>
              <w:rPr>
                <w:sz w:val="20"/>
                <w:szCs w:val="20"/>
                <w:color w:val="auto"/>
              </w:rPr>
            </w:pPr>
            <w:r>
              <w:rPr>
                <w:rFonts w:ascii="Times New Roman" w:cs="Times New Roman" w:eastAsia="Times New Roman" w:hAnsi="Times New Roman"/>
                <w:sz w:val="11"/>
                <w:szCs w:val="11"/>
                <w:color w:val="auto"/>
              </w:rPr>
              <w:t>(Name and address of agent for service)</w:t>
            </w:r>
          </w:p>
        </w:tc>
      </w:tr>
      <w:tr>
        <w:trPr>
          <w:trHeight w:val="373"/>
        </w:trPr>
        <w:tc>
          <w:tcPr>
            <w:tcW w:w="2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(858) 450-0008</w:t>
            </w:r>
          </w:p>
        </w:tc>
        <w:tc>
          <w:tcPr>
            <w:tcW w:w="14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147"/>
        </w:trPr>
        <w:tc>
          <w:tcPr>
            <w:tcW w:w="2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40" w:type="dxa"/>
            <w:vAlign w:val="bottom"/>
            <w:gridSpan w:val="3"/>
          </w:tcPr>
          <w:p>
            <w:pPr>
              <w:jc w:val="center"/>
              <w:ind w:right="2203"/>
              <w:spacing w:after="0"/>
              <w:rPr>
                <w:sz w:val="20"/>
                <w:szCs w:val="20"/>
                <w:color w:val="auto"/>
              </w:rPr>
            </w:pPr>
            <w:r>
              <w:rPr>
                <w:rFonts w:ascii="Times New Roman" w:cs="Times New Roman" w:eastAsia="Times New Roman" w:hAnsi="Times New Roman"/>
                <w:sz w:val="11"/>
                <w:szCs w:val="11"/>
                <w:color w:val="auto"/>
              </w:rPr>
              <w:t>(Telephone number, including area code, of agent for service)</w:t>
            </w:r>
          </w:p>
        </w:tc>
      </w:tr>
      <w:tr>
        <w:trPr>
          <w:trHeight w:val="393"/>
        </w:trPr>
        <w:tc>
          <w:tcPr>
            <w:tcW w:w="2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40" w:type="dxa"/>
            <w:vAlign w:val="bottom"/>
            <w:gridSpan w:val="3"/>
          </w:tcPr>
          <w:p>
            <w:pPr>
              <w:jc w:val="center"/>
              <w:ind w:right="2203"/>
              <w:spacing w:after="0"/>
              <w:rPr>
                <w:sz w:val="20"/>
                <w:szCs w:val="20"/>
                <w:color w:val="auto"/>
              </w:rPr>
            </w:pPr>
            <w:r>
              <w:rPr>
                <w:rFonts w:ascii="Times New Roman" w:cs="Times New Roman" w:eastAsia="Times New Roman" w:hAnsi="Times New Roman"/>
                <w:sz w:val="11"/>
                <w:szCs w:val="11"/>
                <w:b w:val="1"/>
                <w:bCs w:val="1"/>
                <w:i w:val="1"/>
                <w:iCs w:val="1"/>
                <w:color w:val="auto"/>
              </w:rPr>
              <w:t>Copies to:</w:t>
            </w:r>
          </w:p>
        </w:tc>
      </w:tr>
      <w:tr>
        <w:trPr>
          <w:trHeight w:val="360"/>
        </w:trPr>
        <w:tc>
          <w:tcPr>
            <w:tcW w:w="2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40" w:type="dxa"/>
            <w:vAlign w:val="bottom"/>
            <w:gridSpan w:val="3"/>
          </w:tcPr>
          <w:p>
            <w:pPr>
              <w:jc w:val="center"/>
              <w:ind w:right="2223"/>
              <w:spacing w:after="0"/>
              <w:rPr>
                <w:sz w:val="20"/>
                <w:szCs w:val="20"/>
                <w:color w:val="auto"/>
              </w:rPr>
            </w:pPr>
            <w:r>
              <w:rPr>
                <w:rFonts w:ascii="Times New Roman" w:cs="Times New Roman" w:eastAsia="Times New Roman" w:hAnsi="Times New Roman"/>
                <w:sz w:val="11"/>
                <w:szCs w:val="11"/>
                <w:b w:val="1"/>
                <w:bCs w:val="1"/>
                <w:color w:val="auto"/>
              </w:rPr>
              <w:t>Peter E. Devlin</w:t>
            </w:r>
          </w:p>
        </w:tc>
      </w:tr>
      <w:tr>
        <w:trPr>
          <w:trHeight w:val="138"/>
        </w:trPr>
        <w:tc>
          <w:tcPr>
            <w:tcW w:w="2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40" w:type="dxa"/>
            <w:vAlign w:val="bottom"/>
            <w:gridSpan w:val="3"/>
          </w:tcPr>
          <w:p>
            <w:pPr>
              <w:jc w:val="center"/>
              <w:ind w:right="2203"/>
              <w:spacing w:after="0"/>
              <w:rPr>
                <w:sz w:val="20"/>
                <w:szCs w:val="20"/>
                <w:color w:val="auto"/>
              </w:rPr>
            </w:pPr>
            <w:r>
              <w:rPr>
                <w:rFonts w:ascii="Times New Roman" w:cs="Times New Roman" w:eastAsia="Times New Roman" w:hAnsi="Times New Roman"/>
                <w:sz w:val="11"/>
                <w:szCs w:val="11"/>
                <w:b w:val="1"/>
                <w:bCs w:val="1"/>
                <w:color w:val="auto"/>
              </w:rPr>
              <w:t>Erik B. Lundgren</w:t>
            </w:r>
          </w:p>
        </w:tc>
      </w:tr>
      <w:tr>
        <w:trPr>
          <w:trHeight w:val="138"/>
        </w:trPr>
        <w:tc>
          <w:tcPr>
            <w:tcW w:w="2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40" w:type="dxa"/>
            <w:vAlign w:val="bottom"/>
            <w:gridSpan w:val="3"/>
          </w:tcPr>
          <w:p>
            <w:pPr>
              <w:jc w:val="center"/>
              <w:ind w:right="2203"/>
              <w:spacing w:after="0"/>
              <w:rPr>
                <w:sz w:val="20"/>
                <w:szCs w:val="20"/>
                <w:color w:val="auto"/>
              </w:rPr>
            </w:pPr>
            <w:r>
              <w:rPr>
                <w:rFonts w:ascii="Times New Roman" w:cs="Times New Roman" w:eastAsia="Times New Roman" w:hAnsi="Times New Roman"/>
                <w:sz w:val="11"/>
                <w:szCs w:val="11"/>
                <w:b w:val="1"/>
                <w:bCs w:val="1"/>
                <w:color w:val="auto"/>
              </w:rPr>
              <w:t>Jones Day</w:t>
            </w:r>
          </w:p>
        </w:tc>
      </w:tr>
      <w:tr>
        <w:trPr>
          <w:trHeight w:val="138"/>
        </w:trPr>
        <w:tc>
          <w:tcPr>
            <w:tcW w:w="2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40" w:type="dxa"/>
            <w:vAlign w:val="bottom"/>
            <w:gridSpan w:val="3"/>
          </w:tcPr>
          <w:p>
            <w:pPr>
              <w:jc w:val="center"/>
              <w:ind w:right="2203"/>
              <w:spacing w:after="0"/>
              <w:rPr>
                <w:sz w:val="20"/>
                <w:szCs w:val="20"/>
                <w:color w:val="auto"/>
              </w:rPr>
            </w:pPr>
            <w:r>
              <w:rPr>
                <w:rFonts w:ascii="Times New Roman" w:cs="Times New Roman" w:eastAsia="Times New Roman" w:hAnsi="Times New Roman"/>
                <w:sz w:val="11"/>
                <w:szCs w:val="11"/>
                <w:b w:val="1"/>
                <w:bCs w:val="1"/>
                <w:color w:val="auto"/>
              </w:rPr>
              <w:t>250 Vesey Street</w:t>
            </w:r>
          </w:p>
        </w:tc>
      </w:tr>
      <w:tr>
        <w:trPr>
          <w:trHeight w:val="138"/>
        </w:trPr>
        <w:tc>
          <w:tcPr>
            <w:tcW w:w="2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40" w:type="dxa"/>
            <w:vAlign w:val="bottom"/>
            <w:gridSpan w:val="3"/>
          </w:tcPr>
          <w:p>
            <w:pPr>
              <w:jc w:val="center"/>
              <w:ind w:right="2223"/>
              <w:spacing w:after="0"/>
              <w:rPr>
                <w:sz w:val="20"/>
                <w:szCs w:val="20"/>
                <w:color w:val="auto"/>
              </w:rPr>
            </w:pPr>
            <w:r>
              <w:rPr>
                <w:rFonts w:ascii="Times New Roman" w:cs="Times New Roman" w:eastAsia="Times New Roman" w:hAnsi="Times New Roman"/>
                <w:sz w:val="11"/>
                <w:szCs w:val="11"/>
                <w:b w:val="1"/>
                <w:bCs w:val="1"/>
                <w:color w:val="auto"/>
              </w:rPr>
              <w:t>New York, NY 10281</w:t>
            </w:r>
          </w:p>
        </w:tc>
      </w:tr>
      <w:tr>
        <w:trPr>
          <w:trHeight w:val="149"/>
        </w:trPr>
        <w:tc>
          <w:tcPr>
            <w:tcW w:w="2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(212) 326-3939</w:t>
            </w:r>
          </w:p>
        </w:tc>
        <w:tc>
          <w:tcPr>
            <w:tcW w:w="140" w:type="dxa"/>
            <w:vAlign w:val="bottom"/>
          </w:tcPr>
          <w:p>
            <w:pPr>
              <w:spacing w:after="0"/>
              <w:rPr>
                <w:sz w:val="12"/>
                <w:szCs w:val="12"/>
                <w:color w:val="auto"/>
              </w:rPr>
            </w:pPr>
          </w:p>
        </w:tc>
        <w:tc>
          <w:tcPr>
            <w:tcW w:w="2120" w:type="dxa"/>
            <w:vAlign w:val="bottom"/>
          </w:tcPr>
          <w:p>
            <w:pPr>
              <w:spacing w:after="0"/>
              <w:rPr>
                <w:sz w:val="12"/>
                <w:szCs w:val="12"/>
                <w:color w:val="auto"/>
              </w:rPr>
            </w:pPr>
          </w:p>
        </w:tc>
      </w:tr>
      <w:tr>
        <w:trPr>
          <w:trHeight w:val="348"/>
        </w:trPr>
        <w:tc>
          <w:tcPr>
            <w:tcW w:w="2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120" w:type="dxa"/>
            <w:vAlign w:val="bottom"/>
          </w:tcPr>
          <w:p>
            <w:pPr>
              <w:spacing w:after="0"/>
              <w:rPr>
                <w:sz w:val="24"/>
                <w:szCs w:val="24"/>
                <w:color w:val="auto"/>
              </w:rPr>
            </w:pPr>
          </w:p>
        </w:tc>
      </w:tr>
    </w:tbl>
    <w:p>
      <w:pPr>
        <w:sectPr>
          <w:pgSz w:w="11900" w:h="16838" w:orient="portrait"/>
          <w:cols w:equalWidth="0" w:num="1">
            <w:col w:w="10020"/>
          </w:cols>
          <w:pgMar w:left="1360" w:top="1046" w:right="519" w:bottom="1440" w:gutter="0" w:footer="0" w:header="0"/>
        </w:sectPr>
      </w:pPr>
    </w:p>
    <w:bookmarkStart w:id="1" w:name="page2"/>
    <w:bookmarkEnd w:id="1"/>
    <w:p>
      <w:pPr>
        <w:jc w:val="both"/>
        <w:spacing w:after="0" w:line="287"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or a smaller reporting company or an emerging growth company. See the definitions of “large accelerated filer,” “accelerated filer,” “smaller reporting company,” and “emerging growth company” in Rule 12b-2 of the Exchange Act.</w:t>
      </w:r>
    </w:p>
    <w:p>
      <w:pPr>
        <w:spacing w:after="0" w:line="231" w:lineRule="exact"/>
        <w:rPr>
          <w:sz w:val="20"/>
          <w:szCs w:val="20"/>
          <w:color w:val="auto"/>
        </w:rPr>
      </w:pPr>
    </w:p>
    <w:tbl>
      <w:tblPr>
        <w:tblLayout w:type="fixed"/>
        <w:tblInd w:w="60" w:type="dxa"/>
        <w:tblCellMar>
          <w:top w:w="0" w:type="dxa"/>
          <w:left w:w="0" w:type="dxa"/>
          <w:bottom w:w="0" w:type="dxa"/>
          <w:right w:w="0" w:type="dxa"/>
        </w:tblCellMar>
      </w:tblPr>
      <w:tr>
        <w:trPr>
          <w:trHeight w:val="237"/>
        </w:trPr>
        <w:tc>
          <w:tcPr>
            <w:tcW w:w="214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660" w:type="dxa"/>
            <w:vAlign w:val="bottom"/>
          </w:tcPr>
          <w:p>
            <w:pPr>
              <w:ind w:left="880"/>
              <w:spacing w:after="0" w:line="141" w:lineRule="exact"/>
              <w:rPr>
                <w:sz w:val="20"/>
                <w:szCs w:val="20"/>
                <w:color w:val="auto"/>
              </w:rPr>
            </w:pPr>
            <w:r>
              <w:rPr>
                <w:rFonts w:ascii="MS PGothic" w:cs="MS PGothic" w:eastAsia="MS PGothic" w:hAnsi="MS PGothic"/>
                <w:sz w:val="14"/>
                <w:szCs w:val="14"/>
                <w:color w:val="auto"/>
              </w:rPr>
              <w:t>☐</w:t>
            </w:r>
          </w:p>
        </w:tc>
        <w:tc>
          <w:tcPr>
            <w:tcW w:w="4680" w:type="dxa"/>
            <w:vAlign w:val="bottom"/>
          </w:tcPr>
          <w:p>
            <w:pPr>
              <w:ind w:left="2680"/>
              <w:spacing w:after="0"/>
              <w:rPr>
                <w:sz w:val="20"/>
                <w:szCs w:val="20"/>
                <w:color w:val="auto"/>
              </w:rPr>
            </w:pPr>
            <w:r>
              <w:rPr>
                <w:rFonts w:ascii="Times New Roman" w:cs="Times New Roman" w:eastAsia="Times New Roman" w:hAnsi="Times New Roman"/>
                <w:sz w:val="14"/>
                <w:szCs w:val="14"/>
                <w:color w:val="auto"/>
              </w:rPr>
              <w:t>Accelerated filer</w:t>
            </w:r>
          </w:p>
        </w:tc>
        <w:tc>
          <w:tcPr>
            <w:tcW w:w="58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29"/>
        </w:trPr>
        <w:tc>
          <w:tcPr>
            <w:tcW w:w="214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660" w:type="dxa"/>
            <w:vAlign w:val="bottom"/>
          </w:tcPr>
          <w:p>
            <w:pPr>
              <w:ind w:left="880"/>
              <w:spacing w:after="0" w:line="141" w:lineRule="exact"/>
              <w:rPr>
                <w:sz w:val="20"/>
                <w:szCs w:val="20"/>
                <w:color w:val="auto"/>
              </w:rPr>
            </w:pPr>
            <w:r>
              <w:rPr>
                <w:rFonts w:ascii="MS PGothic" w:cs="MS PGothic" w:eastAsia="MS PGothic" w:hAnsi="MS PGothic"/>
                <w:sz w:val="14"/>
                <w:szCs w:val="14"/>
                <w:color w:val="auto"/>
              </w:rPr>
              <w:t>☒</w:t>
            </w:r>
          </w:p>
        </w:tc>
        <w:tc>
          <w:tcPr>
            <w:tcW w:w="4680" w:type="dxa"/>
            <w:vAlign w:val="bottom"/>
          </w:tcPr>
          <w:p>
            <w:pPr>
              <w:ind w:left="268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58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29"/>
        </w:trPr>
        <w:tc>
          <w:tcPr>
            <w:tcW w:w="214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4680" w:type="dxa"/>
            <w:vAlign w:val="bottom"/>
          </w:tcPr>
          <w:p>
            <w:pPr>
              <w:ind w:left="2680"/>
              <w:spacing w:after="0"/>
              <w:rPr>
                <w:sz w:val="20"/>
                <w:szCs w:val="20"/>
                <w:color w:val="auto"/>
              </w:rPr>
            </w:pPr>
            <w:r>
              <w:rPr>
                <w:rFonts w:ascii="Times New Roman" w:cs="Times New Roman" w:eastAsia="Times New Roman" w:hAnsi="Times New Roman"/>
                <w:sz w:val="14"/>
                <w:szCs w:val="14"/>
                <w:color w:val="auto"/>
              </w:rPr>
              <w:t>Emerging growth company</w:t>
            </w:r>
          </w:p>
        </w:tc>
        <w:tc>
          <w:tcPr>
            <w:tcW w:w="58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240" w:lineRule="exact"/>
        <w:rPr>
          <w:sz w:val="20"/>
          <w:szCs w:val="20"/>
          <w:color w:val="auto"/>
        </w:rPr>
      </w:pPr>
    </w:p>
    <w:p>
      <w:pPr>
        <w:jc w:val="both"/>
        <w:spacing w:after="0" w:line="188"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716153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107950</wp:posOffset>
            </wp:positionV>
            <wp:extent cx="716153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REGISTRATION OF ADDITIONAL SECURITIES</w:t>
      </w: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GENERAL INSTRUCTION 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General Instruction E to Form S-8, this Registration Statement is being filed for the purpose of registering an additional 4,080,827 shares of Class A common stock, par value $0.0001 per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share, of Cibus, Inc. (the “Registrant”) authorized for issuance pursuant to the Cibus, Inc. 2017 Omnibus Incentive Plan, as amended, which is the same class as the securities previously registered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issuance thereunder on effective Registration Statements on Form S-8 filed with the Securities and Exchange Commission on July 20, 2017 (File No. 333-219382), May 9, 2019 (File No. 333-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231336), July 16, 2021 (File No. 333-257972), March 2, 2023 (File No. 333-270245), May 24, 2023 (File No. 333-272177), June 30, 2023 (File No. 333-273069) and March 24, 2025 (File No. 333-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286065) (collectively, the “Prior Registration Statements”). The contents of the Prior Registration Statements are incorporated by reference into this Registration Statement.</w:t>
      </w:r>
    </w:p>
    <w:p>
      <w:pPr>
        <w:spacing w:after="0" w:line="120"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INFORMATION REQUIRED IN THE REGISTRATION STATEMENT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Incorporation of Documents by Reference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documents filed by the Registrant with the Securities and Exchange Commission (the “Commission”) are incorporated by reference into this Registration Statement:</w:t>
      </w:r>
    </w:p>
    <w:p>
      <w:pPr>
        <w:spacing w:after="0" w:line="136" w:lineRule="exact"/>
        <w:rPr>
          <w:sz w:val="20"/>
          <w:szCs w:val="20"/>
          <w:color w:val="auto"/>
        </w:rPr>
      </w:pPr>
    </w:p>
    <w:p>
      <w:pPr>
        <w:ind w:left="520" w:hanging="260"/>
        <w:spacing w:after="0" w:line="239" w:lineRule="auto"/>
        <w:tabs>
          <w:tab w:leader="none" w:pos="516"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Registrant’s Annual Report on Form </w:t>
      </w:r>
      <w:hyperlink r:id="rId13">
        <w:r>
          <w:rPr>
            <w:rFonts w:ascii="Times New Roman" w:cs="Times New Roman" w:eastAsia="Times New Roman" w:hAnsi="Times New Roman"/>
            <w:sz w:val="14"/>
            <w:szCs w:val="14"/>
            <w:u w:val="single" w:color="auto"/>
            <w:color w:val="0000FF"/>
          </w:rPr>
          <w:t>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year ended December 31, 2025 (including the information in Part III incorporated therein by reference from the Registrant’s Definitive Proxy Statement on Schedule 14A for the year ended December 31, 2025);</w:t>
      </w:r>
    </w:p>
    <w:p>
      <w:pPr>
        <w:spacing w:after="0" w:line="10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Registrant’s Quarterly Report on Form 10-Q for the quarter ended </w:t>
      </w:r>
      <w:hyperlink r:id="rId14">
        <w:r>
          <w:rPr>
            <w:rFonts w:ascii="Times New Roman" w:cs="Times New Roman" w:eastAsia="Times New Roman" w:hAnsi="Times New Roman"/>
            <w:sz w:val="14"/>
            <w:szCs w:val="14"/>
            <w:u w:val="single" w:color="auto"/>
            <w:color w:val="0000FF"/>
          </w:rPr>
          <w:t>March 31, 2026</w:t>
        </w:r>
      </w:hyperlink>
      <w:r>
        <w:rPr>
          <w:rFonts w:ascii="Times New Roman" w:cs="Times New Roman" w:eastAsia="Times New Roman" w:hAnsi="Times New Roman"/>
          <w:sz w:val="14"/>
          <w:szCs w:val="14"/>
          <w:color w:val="auto"/>
        </w:rPr>
        <w:t>;</w:t>
      </w:r>
    </w:p>
    <w:p>
      <w:pPr>
        <w:spacing w:after="0" w:line="125" w:lineRule="exact"/>
        <w:rPr>
          <w:rFonts w:ascii="Times New Roman" w:cs="Times New Roman" w:eastAsia="Times New Roman" w:hAnsi="Times New Roman"/>
          <w:sz w:val="14"/>
          <w:szCs w:val="14"/>
          <w:color w:val="auto"/>
        </w:rPr>
      </w:pPr>
    </w:p>
    <w:p>
      <w:pPr>
        <w:ind w:left="520" w:hanging="260"/>
        <w:spacing w:after="0" w:line="239" w:lineRule="auto"/>
        <w:tabs>
          <w:tab w:leader="none" w:pos="516"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Registrant’s Current Reports on Form 8-K filed on </w:t>
      </w:r>
      <w:hyperlink r:id="rId15">
        <w:r>
          <w:rPr>
            <w:rFonts w:ascii="Times New Roman" w:cs="Times New Roman" w:eastAsia="Times New Roman" w:hAnsi="Times New Roman"/>
            <w:sz w:val="14"/>
            <w:szCs w:val="14"/>
            <w:u w:val="single" w:color="auto"/>
            <w:color w:val="0000FF"/>
          </w:rPr>
          <w:t>January 30, 2026</w:t>
        </w:r>
      </w:hyperlink>
      <w:r>
        <w:rPr>
          <w:rFonts w:ascii="Times New Roman" w:cs="Times New Roman" w:eastAsia="Times New Roman" w:hAnsi="Times New Roman"/>
          <w:sz w:val="14"/>
          <w:szCs w:val="14"/>
          <w:color w:val="auto"/>
        </w:rPr>
        <w:t xml:space="preserve">, </w:t>
      </w:r>
      <w:hyperlink r:id="rId16">
        <w:r>
          <w:rPr>
            <w:rFonts w:ascii="Times New Roman" w:cs="Times New Roman" w:eastAsia="Times New Roman" w:hAnsi="Times New Roman"/>
            <w:sz w:val="14"/>
            <w:szCs w:val="14"/>
            <w:u w:val="single" w:color="auto"/>
            <w:color w:val="0000FF"/>
          </w:rPr>
          <w:t>March 27, 2026</w:t>
        </w:r>
      </w:hyperlink>
      <w:r>
        <w:rPr>
          <w:rFonts w:ascii="Times New Roman" w:cs="Times New Roman" w:eastAsia="Times New Roman" w:hAnsi="Times New Roman"/>
          <w:sz w:val="14"/>
          <w:szCs w:val="14"/>
          <w:color w:val="auto"/>
        </w:rPr>
        <w:t xml:space="preserve">, </w:t>
      </w:r>
      <w:hyperlink r:id="rId17">
        <w:r>
          <w:rPr>
            <w:rFonts w:ascii="Times New Roman" w:cs="Times New Roman" w:eastAsia="Times New Roman" w:hAnsi="Times New Roman"/>
            <w:sz w:val="14"/>
            <w:szCs w:val="14"/>
            <w:u w:val="single" w:color="auto"/>
            <w:color w:val="0000FF"/>
          </w:rPr>
          <w:t>April 10, 2026</w:t>
        </w:r>
      </w:hyperlink>
      <w:r>
        <w:rPr>
          <w:rFonts w:ascii="Times New Roman" w:cs="Times New Roman" w:eastAsia="Times New Roman" w:hAnsi="Times New Roman"/>
          <w:sz w:val="14"/>
          <w:szCs w:val="14"/>
          <w:color w:val="auto"/>
        </w:rPr>
        <w:t xml:space="preserve">, </w:t>
      </w:r>
      <w:hyperlink r:id="rId18">
        <w:r>
          <w:rPr>
            <w:rFonts w:ascii="Times New Roman" w:cs="Times New Roman" w:eastAsia="Times New Roman" w:hAnsi="Times New Roman"/>
            <w:sz w:val="14"/>
            <w:szCs w:val="14"/>
            <w:u w:val="single" w:color="auto"/>
            <w:color w:val="0000FF"/>
          </w:rPr>
          <w:t>June 5, 2026</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and </w:t>
      </w:r>
      <w:hyperlink r:id="rId19">
        <w:r>
          <w:rPr>
            <w:rFonts w:ascii="Times New Roman" w:cs="Times New Roman" w:eastAsia="Times New Roman" w:hAnsi="Times New Roman"/>
            <w:sz w:val="14"/>
            <w:szCs w:val="14"/>
            <w:u w:val="single" w:color="auto"/>
            <w:color w:val="0000FF"/>
          </w:rPr>
          <w:t>June 9, 2026</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(in each case, excluding any information furnished and not filed with the Commission); and</w:t>
      </w:r>
    </w:p>
    <w:p>
      <w:pPr>
        <w:spacing w:after="0" w:line="103" w:lineRule="exact"/>
        <w:rPr>
          <w:rFonts w:ascii="Times New Roman" w:cs="Times New Roman" w:eastAsia="Times New Roman" w:hAnsi="Times New Roman"/>
          <w:sz w:val="14"/>
          <w:szCs w:val="14"/>
          <w:color w:val="auto"/>
        </w:rPr>
      </w:pPr>
    </w:p>
    <w:p>
      <w:pPr>
        <w:jc w:val="both"/>
        <w:ind w:left="520" w:hanging="260"/>
        <w:spacing w:after="0" w:line="228" w:lineRule="auto"/>
        <w:tabs>
          <w:tab w:leader="none" w:pos="516"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description of the Registrant’s Class A Common Stock contained in our Registration Statement on </w:t>
      </w:r>
      <w:hyperlink r:id="rId20">
        <w:r>
          <w:rPr>
            <w:rFonts w:ascii="Times New Roman" w:cs="Times New Roman" w:eastAsia="Times New Roman" w:hAnsi="Times New Roman"/>
            <w:sz w:val="14"/>
            <w:szCs w:val="14"/>
            <w:u w:val="single" w:color="auto"/>
            <w:color w:val="0000FF"/>
          </w:rPr>
          <w:t>Form 8-A</w:t>
        </w:r>
      </w:hyperlink>
      <w:r>
        <w:rPr>
          <w:rFonts w:ascii="Times New Roman" w:cs="Times New Roman" w:eastAsia="Times New Roman" w:hAnsi="Times New Roman"/>
          <w:sz w:val="14"/>
          <w:szCs w:val="14"/>
          <w:color w:val="auto"/>
        </w:rPr>
        <w:t>, filed on July 20, 2017, as the description therein has been updated and superseded by the description of securities contained in Exhibit 99.1 to our Current Report on Form 8-K filed with the SEC on June 29, 2023, including any amendments or reports filed for the purpose of updating the description.</w:t>
      </w:r>
    </w:p>
    <w:p>
      <w:pPr>
        <w:spacing w:after="0" w:line="114" w:lineRule="exact"/>
        <w:rPr>
          <w:rFonts w:ascii="Times New Roman" w:cs="Times New Roman" w:eastAsia="Times New Roman" w:hAnsi="Times New Roman"/>
          <w:sz w:val="14"/>
          <w:szCs w:val="14"/>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addition, all other reports and documents subsequently filed by the Registrant pursuant to Sections 13(a), 13(c), 14 and 15(d) of the Securities Exchange Act of 1934 (the “Exchange Act”), prior to the filing of a post-effective amendment to this Registration Statement which indicates that all securities offered have been sold or which deregisters all securities remaining unsold, shall be deemed to be incorporated by reference in this Registration Statement and to be part hereof from the date of filing of such reports or documents.</w:t>
      </w:r>
    </w:p>
    <w:p>
      <w:pPr>
        <w:spacing w:after="0" w:line="104" w:lineRule="exact"/>
        <w:rPr>
          <w:rFonts w:ascii="Times New Roman" w:cs="Times New Roman" w:eastAsia="Times New Roman" w:hAnsi="Times New Roman"/>
          <w:sz w:val="14"/>
          <w:szCs w:val="14"/>
          <w:color w:val="auto"/>
        </w:rPr>
      </w:pPr>
    </w:p>
    <w:p>
      <w:pPr>
        <w:ind w:right="380"/>
        <w:spacing w:after="0" w:line="287" w:lineRule="auto"/>
        <w:rPr>
          <w:sz w:val="20"/>
          <w:szCs w:val="20"/>
          <w:color w:val="auto"/>
        </w:rPr>
      </w:pPr>
      <w:r>
        <w:rPr>
          <w:rFonts w:ascii="Times New Roman" w:cs="Times New Roman" w:eastAsia="Times New Roman" w:hAnsi="Times New Roman"/>
          <w:sz w:val="14"/>
          <w:szCs w:val="14"/>
          <w:color w:val="auto"/>
        </w:rPr>
        <w:t>Any statement contained herein, or in a document incorporated or deemed to be incorporated by reference herein, shall be deemed to be modified or superseded for purposes of this Registration Statement to the extent that a statement contained in any subsequently</w:t>
      </w:r>
    </w:p>
    <w:p>
      <w:pPr>
        <w:sectPr>
          <w:pgSz w:w="11900" w:h="16838" w:orient="portrait"/>
          <w:cols w:equalWidth="0" w:num="1">
            <w:col w:w="11280"/>
          </w:cols>
          <w:pgMar w:left="300" w:top="963" w:right="319" w:bottom="1440" w:gutter="0" w:footer="0" w:header="0"/>
        </w:sectPr>
      </w:pPr>
    </w:p>
    <w:bookmarkStart w:id="2" w:name="page3"/>
    <w:bookmarkEnd w:id="2"/>
    <w:p>
      <w:pPr>
        <w:spacing w:after="0" w:line="287" w:lineRule="auto"/>
        <w:rPr>
          <w:sz w:val="20"/>
          <w:szCs w:val="20"/>
          <w:color w:val="auto"/>
        </w:rPr>
      </w:pPr>
      <w:r>
        <w:rPr>
          <w:rFonts w:ascii="Times New Roman" w:cs="Times New Roman" w:eastAsia="Times New Roman" w:hAnsi="Times New Roman"/>
          <w:sz w:val="14"/>
          <w:szCs w:val="14"/>
          <w:color w:val="auto"/>
        </w:rPr>
        <w:t>filed document that also is deemed to be incorporated by reference herein, modifies or supersedes such statement. Any such statement so modified or superseded shall not be deemed, except as so modified or superseded, to constitute a part of this Registration Statement.</w:t>
      </w:r>
    </w:p>
    <w:p>
      <w:pPr>
        <w:sectPr>
          <w:pgSz w:w="11900" w:h="16838" w:orient="portrait"/>
          <w:cols w:equalWidth="0" w:num="1">
            <w:col w:w="11020"/>
          </w:cols>
          <w:pgMar w:left="300" w:top="963" w:right="5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86"/>
        </w:trPr>
        <w:tc>
          <w:tcPr>
            <w:tcW w:w="1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Item 8. Exhibits.</w:t>
            </w:r>
          </w:p>
        </w:tc>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5520" w:type="dxa"/>
            <w:vAlign w:val="bottom"/>
          </w:tcPr>
          <w:p>
            <w:pPr>
              <w:spacing w:after="0"/>
              <w:rPr>
                <w:sz w:val="16"/>
                <w:szCs w:val="16"/>
                <w:color w:val="auto"/>
              </w:rPr>
            </w:pPr>
          </w:p>
        </w:tc>
      </w:tr>
      <w:tr>
        <w:trPr>
          <w:trHeight w:val="467"/>
        </w:trPr>
        <w:tc>
          <w:tcPr>
            <w:tcW w:w="11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40" w:type="dxa"/>
            <w:vAlign w:val="bottom"/>
            <w:gridSpan w:val="2"/>
          </w:tcPr>
          <w:p>
            <w:pPr>
              <w:ind w:left="170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r>
      <w:tr>
        <w:trPr>
          <w:trHeight w:val="288"/>
        </w:trPr>
        <w:tc>
          <w:tcPr>
            <w:tcW w:w="7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5.1*</w:t>
            </w:r>
          </w:p>
        </w:tc>
        <w:tc>
          <w:tcPr>
            <w:tcW w:w="36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140" w:type="dxa"/>
            <w:vAlign w:val="bottom"/>
            <w:tcBorders>
              <w:top w:val="single" w:sz="8" w:color="auto"/>
            </w:tcBorders>
            <w:gridSpan w:val="6"/>
          </w:tcPr>
          <w:p>
            <w:pPr>
              <w:spacing w:after="0"/>
              <w:rPr>
                <w:sz w:val="20"/>
                <w:szCs w:val="20"/>
                <w:color w:val="auto"/>
              </w:rPr>
            </w:pPr>
            <w:r>
              <w:rPr>
                <w:rFonts w:ascii="Times New Roman" w:cs="Times New Roman" w:eastAsia="Times New Roman" w:hAnsi="Times New Roman"/>
                <w:sz w:val="14"/>
                <w:szCs w:val="14"/>
                <w:color w:val="0000FF"/>
              </w:rPr>
              <w:t>Opinion of Jones Day.</w:t>
            </w:r>
          </w:p>
        </w:tc>
      </w:tr>
      <w:tr>
        <w:trPr>
          <w:trHeight w:val="20"/>
        </w:trPr>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r>
      <w:tr>
        <w:trPr>
          <w:trHeight w:val="309"/>
        </w:trPr>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23.1*</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w w:val="99"/>
              </w:rPr>
              <w:t>Consent of BDO USA, P.C.</w:t>
            </w:r>
          </w:p>
        </w:tc>
        <w:tc>
          <w:tcPr>
            <w:tcW w:w="8560" w:type="dxa"/>
            <w:vAlign w:val="bottom"/>
            <w:gridSpan w:val="3"/>
          </w:tcPr>
          <w:p>
            <w:pPr>
              <w:spacing w:after="0"/>
              <w:rPr>
                <w:sz w:val="24"/>
                <w:szCs w:val="24"/>
                <w:color w:val="auto"/>
              </w:rPr>
            </w:pPr>
          </w:p>
        </w:tc>
      </w:tr>
      <w:tr>
        <w:trPr>
          <w:trHeight w:val="309"/>
        </w:trPr>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23.2*</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40" w:type="dxa"/>
            <w:vAlign w:val="bottom"/>
            <w:gridSpan w:val="6"/>
          </w:tcPr>
          <w:p>
            <w:pPr>
              <w:spacing w:after="0"/>
              <w:rPr>
                <w:sz w:val="20"/>
                <w:szCs w:val="20"/>
                <w:color w:val="auto"/>
              </w:rPr>
            </w:pPr>
            <w:r>
              <w:rPr>
                <w:rFonts w:ascii="Times New Roman" w:cs="Times New Roman" w:eastAsia="Times New Roman" w:hAnsi="Times New Roman"/>
                <w:sz w:val="14"/>
                <w:szCs w:val="14"/>
                <w:color w:val="0000FF"/>
              </w:rPr>
              <w:t>Consent of Jones Day (included in Exhibit 5.1).</w:t>
            </w:r>
          </w:p>
        </w:tc>
      </w:tr>
      <w:tr>
        <w:trPr>
          <w:trHeight w:val="20"/>
        </w:trPr>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740" w:type="dxa"/>
            <w:vAlign w:val="bottom"/>
            <w:gridSpan w:val="3"/>
            <w:shd w:val="clear" w:color="auto" w:fill="0000FF"/>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r>
      <w:tr>
        <w:trPr>
          <w:trHeight w:val="309"/>
        </w:trPr>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24.1*</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40" w:type="dxa"/>
            <w:vAlign w:val="bottom"/>
            <w:gridSpan w:val="6"/>
          </w:tcPr>
          <w:p>
            <w:pPr>
              <w:spacing w:after="0"/>
              <w:rPr>
                <w:sz w:val="20"/>
                <w:szCs w:val="20"/>
                <w:color w:val="auto"/>
              </w:rPr>
            </w:pPr>
            <w:r>
              <w:rPr>
                <w:rFonts w:ascii="Times New Roman" w:cs="Times New Roman" w:eastAsia="Times New Roman" w:hAnsi="Times New Roman"/>
                <w:sz w:val="14"/>
                <w:szCs w:val="14"/>
                <w:color w:val="0000FF"/>
              </w:rPr>
              <w:t>Power of Attorney (included in the signature page to this Registration Statement).</w:t>
            </w:r>
          </w:p>
        </w:tc>
      </w:tr>
      <w:tr>
        <w:trPr>
          <w:trHeight w:val="309"/>
        </w:trPr>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107*</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2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4"/>
                <w:szCs w:val="14"/>
                <w:color w:val="0000FF"/>
              </w:rPr>
              <w:t>Filing Fee Table.</w:t>
            </w:r>
          </w:p>
        </w:tc>
        <w:tc>
          <w:tcPr>
            <w:tcW w:w="5520" w:type="dxa"/>
            <w:vAlign w:val="bottom"/>
          </w:tcPr>
          <w:p>
            <w:pPr>
              <w:spacing w:after="0"/>
              <w:rPr>
                <w:sz w:val="24"/>
                <w:szCs w:val="24"/>
                <w:color w:val="auto"/>
              </w:rPr>
            </w:pPr>
          </w:p>
        </w:tc>
      </w:tr>
      <w:tr>
        <w:trPr>
          <w:trHeight w:val="446"/>
        </w:trPr>
        <w:tc>
          <w:tcPr>
            <w:tcW w:w="1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Filed herewith.</w:t>
            </w:r>
          </w:p>
        </w:tc>
        <w:tc>
          <w:tcPr>
            <w:tcW w:w="20" w:type="dxa"/>
            <w:vAlign w:val="bottom"/>
          </w:tcPr>
          <w:p>
            <w:pPr>
              <w:spacing w:after="0"/>
              <w:rPr>
                <w:sz w:val="24"/>
                <w:szCs w:val="24"/>
                <w:color w:val="auto"/>
              </w:rPr>
            </w:pPr>
          </w:p>
        </w:tc>
        <w:tc>
          <w:tcPr>
            <w:tcW w:w="96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5520" w:type="dxa"/>
            <w:vAlign w:val="bottom"/>
          </w:tcPr>
          <w:p>
            <w:pPr>
              <w:spacing w:after="0"/>
              <w:rPr>
                <w:sz w:val="24"/>
                <w:szCs w:val="24"/>
                <w:color w:val="auto"/>
              </w:rPr>
            </w:pPr>
          </w:p>
        </w:tc>
      </w:tr>
    </w:tbl>
    <w:p>
      <w:pPr>
        <w:sectPr>
          <w:pgSz w:w="11900" w:h="16838" w:orient="portrait"/>
          <w:cols w:equalWidth="0" w:num="1">
            <w:col w:w="11280"/>
          </w:cols>
          <w:pgMar w:left="300" w:top="950" w:right="31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2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San Diego, State of California, on June 23, 2026.</w:t>
      </w:r>
    </w:p>
    <w:p>
      <w:pPr>
        <w:spacing w:after="0" w:line="143" w:lineRule="exact"/>
        <w:rPr>
          <w:sz w:val="20"/>
          <w:szCs w:val="20"/>
          <w:color w:val="auto"/>
        </w:rPr>
      </w:pPr>
    </w:p>
    <w:tbl>
      <w:tblPr>
        <w:tblLayout w:type="fixed"/>
        <w:tblInd w:w="5720" w:type="dxa"/>
        <w:tblCellMar>
          <w:top w:w="0" w:type="dxa"/>
          <w:left w:w="0" w:type="dxa"/>
          <w:bottom w:w="0" w:type="dxa"/>
          <w:right w:w="0" w:type="dxa"/>
        </w:tblCellMar>
      </w:tblPr>
      <w:tr>
        <w:trPr>
          <w:trHeight w:val="186"/>
        </w:trPr>
        <w:tc>
          <w:tcPr>
            <w:tcW w:w="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Cibus, Inc.</w:t>
            </w:r>
          </w:p>
        </w:tc>
        <w:tc>
          <w:tcPr>
            <w:tcW w:w="4440" w:type="dxa"/>
            <w:vAlign w:val="bottom"/>
          </w:tcPr>
          <w:p>
            <w:pPr>
              <w:spacing w:after="0"/>
              <w:rPr>
                <w:sz w:val="16"/>
                <w:szCs w:val="16"/>
                <w:color w:val="auto"/>
              </w:rPr>
            </w:pPr>
          </w:p>
        </w:tc>
      </w:tr>
      <w:tr>
        <w:trPr>
          <w:trHeight w:val="494"/>
        </w:trPr>
        <w:tc>
          <w:tcPr>
            <w:tcW w:w="74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4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Craig Wichner</w:t>
            </w:r>
          </w:p>
        </w:tc>
      </w:tr>
      <w:tr>
        <w:trPr>
          <w:trHeight w:val="187"/>
        </w:trPr>
        <w:tc>
          <w:tcPr>
            <w:tcW w:w="740" w:type="dxa"/>
            <w:vAlign w:val="bottom"/>
          </w:tcPr>
          <w:p>
            <w:pPr>
              <w:spacing w:after="0"/>
              <w:rPr>
                <w:sz w:val="20"/>
                <w:szCs w:val="20"/>
                <w:color w:val="auto"/>
              </w:rPr>
            </w:pPr>
            <w:r>
              <w:rPr>
                <w:rFonts w:ascii="Times New Roman" w:cs="Times New Roman" w:eastAsia="Times New Roman" w:hAnsi="Times New Roman"/>
                <w:sz w:val="14"/>
                <w:szCs w:val="14"/>
                <w:color w:val="auto"/>
              </w:rPr>
              <w:t>Name:</w:t>
            </w:r>
          </w:p>
        </w:tc>
        <w:tc>
          <w:tcPr>
            <w:tcW w:w="4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Craig Wichner</w:t>
            </w:r>
          </w:p>
        </w:tc>
      </w:tr>
      <w:tr>
        <w:trPr>
          <w:trHeight w:val="202"/>
        </w:trPr>
        <w:tc>
          <w:tcPr>
            <w:tcW w:w="74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4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Chief Executive Officer</w:t>
            </w:r>
          </w:p>
        </w:tc>
      </w:tr>
    </w:tbl>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1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undersigned directors and officers of Cibus, Inc. hereby appoint each of Craig Wichner and Cornelis (Carlo) Broos as attorneys-in-fact for the undersigned, with full power of substitution for, and in the name, place and stead of the undersigned, to sign and file with the Securities and Exchange Commission under the Securities Act of 1933, any and all amendments (including post-effective amendments) and exhibits to this Registration Statement on Form S-8 and any and all applications and other documents to be filed with the Securities and Exchange Commission pertaining to the registration of the securities covered hereby, with full power and authority to do and perform any and all acts and things whatsoever requisite and necessary or desirable, hereby ratifying and confirming all that said attorney-in-fact, or his substitute or substitutes, may lawfully do or cause to be done by virtue hereof.</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requirements of the Securities Act of 1933, this Registration Statement has been signed by the following persons in the capacities and on the dates indicated below.</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80" w:type="dxa"/>
            <w:vAlign w:val="bottom"/>
          </w:tcPr>
          <w:p>
            <w:pPr>
              <w:spacing w:after="0"/>
              <w:rPr>
                <w:sz w:val="16"/>
                <w:szCs w:val="16"/>
                <w:color w:val="auto"/>
              </w:rPr>
            </w:pPr>
          </w:p>
        </w:tc>
        <w:tc>
          <w:tcPr>
            <w:tcW w:w="52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171"/>
        </w:trPr>
        <w:tc>
          <w:tcPr>
            <w:tcW w:w="39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Craig Wichner</w:t>
            </w:r>
          </w:p>
        </w:tc>
        <w:tc>
          <w:tcPr>
            <w:tcW w:w="80" w:type="dxa"/>
            <w:vAlign w:val="bottom"/>
          </w:tcPr>
          <w:p>
            <w:pPr>
              <w:spacing w:after="0"/>
              <w:rPr>
                <w:sz w:val="14"/>
                <w:szCs w:val="14"/>
                <w:color w:val="auto"/>
              </w:rPr>
            </w:pPr>
          </w:p>
        </w:tc>
        <w:tc>
          <w:tcPr>
            <w:tcW w:w="51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Chief Executive Officer</w:t>
            </w:r>
          </w:p>
        </w:tc>
        <w:tc>
          <w:tcPr>
            <w:tcW w:w="60" w:type="dxa"/>
            <w:vAlign w:val="bottom"/>
          </w:tcPr>
          <w:p>
            <w:pPr>
              <w:spacing w:after="0"/>
              <w:rPr>
                <w:sz w:val="14"/>
                <w:szCs w:val="14"/>
                <w:color w:val="auto"/>
              </w:rPr>
            </w:pPr>
          </w:p>
        </w:tc>
        <w:tc>
          <w:tcPr>
            <w:tcW w:w="2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June 23, 2026</w:t>
            </w:r>
          </w:p>
        </w:tc>
      </w:tr>
      <w:tr>
        <w:trPr>
          <w:trHeight w:val="175"/>
        </w:trPr>
        <w:tc>
          <w:tcPr>
            <w:tcW w:w="3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Craig Wichner</w:t>
            </w:r>
          </w:p>
        </w:tc>
        <w:tc>
          <w:tcPr>
            <w:tcW w:w="80" w:type="dxa"/>
            <w:vAlign w:val="bottom"/>
          </w:tcPr>
          <w:p>
            <w:pPr>
              <w:spacing w:after="0"/>
              <w:rPr>
                <w:sz w:val="15"/>
                <w:szCs w:val="15"/>
                <w:color w:val="auto"/>
              </w:rPr>
            </w:pPr>
          </w:p>
        </w:tc>
        <w:tc>
          <w:tcPr>
            <w:tcW w:w="52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2020" w:type="dxa"/>
            <w:vAlign w:val="bottom"/>
          </w:tcPr>
          <w:p>
            <w:pPr>
              <w:spacing w:after="0"/>
              <w:rPr>
                <w:sz w:val="15"/>
                <w:szCs w:val="15"/>
                <w:color w:val="auto"/>
              </w:rPr>
            </w:pPr>
          </w:p>
        </w:tc>
      </w:tr>
      <w:tr>
        <w:trPr>
          <w:trHeight w:val="293"/>
        </w:trPr>
        <w:tc>
          <w:tcPr>
            <w:tcW w:w="3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Cornelis (Carlo) Broos</w:t>
            </w:r>
          </w:p>
        </w:tc>
        <w:tc>
          <w:tcPr>
            <w:tcW w:w="80" w:type="dxa"/>
            <w:vAlign w:val="bottom"/>
          </w:tcPr>
          <w:p>
            <w:pPr>
              <w:spacing w:after="0"/>
              <w:rPr>
                <w:sz w:val="24"/>
                <w:szCs w:val="24"/>
                <w:color w:val="auto"/>
              </w:rPr>
            </w:pPr>
          </w:p>
        </w:tc>
        <w:tc>
          <w:tcPr>
            <w:tcW w:w="52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Chief Financial Officer</w:t>
            </w: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June 23, 2026</w:t>
            </w:r>
          </w:p>
        </w:tc>
      </w:tr>
      <w:tr>
        <w:trPr>
          <w:trHeight w:val="175"/>
        </w:trPr>
        <w:tc>
          <w:tcPr>
            <w:tcW w:w="3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Cornelis (Carlo) Broos</w:t>
            </w:r>
          </w:p>
        </w:tc>
        <w:tc>
          <w:tcPr>
            <w:tcW w:w="80" w:type="dxa"/>
            <w:vAlign w:val="bottom"/>
          </w:tcPr>
          <w:p>
            <w:pPr>
              <w:spacing w:after="0"/>
              <w:rPr>
                <w:sz w:val="15"/>
                <w:szCs w:val="15"/>
                <w:color w:val="auto"/>
              </w:rPr>
            </w:pPr>
          </w:p>
        </w:tc>
        <w:tc>
          <w:tcPr>
            <w:tcW w:w="52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(Principal Financial and Accounting Officer)</w:t>
            </w:r>
          </w:p>
        </w:tc>
        <w:tc>
          <w:tcPr>
            <w:tcW w:w="2020" w:type="dxa"/>
            <w:vAlign w:val="bottom"/>
          </w:tcPr>
          <w:p>
            <w:pPr>
              <w:spacing w:after="0"/>
              <w:rPr>
                <w:sz w:val="15"/>
                <w:szCs w:val="15"/>
                <w:color w:val="auto"/>
              </w:rPr>
            </w:pPr>
          </w:p>
        </w:tc>
      </w:tr>
      <w:tr>
        <w:trPr>
          <w:trHeight w:val="293"/>
        </w:trPr>
        <w:tc>
          <w:tcPr>
            <w:tcW w:w="3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Mark Finn</w:t>
            </w:r>
          </w:p>
        </w:tc>
        <w:tc>
          <w:tcPr>
            <w:tcW w:w="80" w:type="dxa"/>
            <w:vAlign w:val="bottom"/>
          </w:tcPr>
          <w:p>
            <w:pPr>
              <w:spacing w:after="0"/>
              <w:rPr>
                <w:sz w:val="24"/>
                <w:szCs w:val="24"/>
                <w:color w:val="auto"/>
              </w:rPr>
            </w:pPr>
          </w:p>
        </w:tc>
        <w:tc>
          <w:tcPr>
            <w:tcW w:w="52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Chairman of the Board of Directors</w:t>
            </w: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June 23, 2026</w:t>
            </w:r>
          </w:p>
        </w:tc>
      </w:tr>
      <w:tr>
        <w:trPr>
          <w:trHeight w:val="175"/>
        </w:trPr>
        <w:tc>
          <w:tcPr>
            <w:tcW w:w="3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Mark Finn</w:t>
            </w:r>
          </w:p>
        </w:tc>
        <w:tc>
          <w:tcPr>
            <w:tcW w:w="8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20" w:type="dxa"/>
            <w:vAlign w:val="bottom"/>
          </w:tcPr>
          <w:p>
            <w:pPr>
              <w:spacing w:after="0"/>
              <w:rPr>
                <w:sz w:val="15"/>
                <w:szCs w:val="15"/>
                <w:color w:val="auto"/>
              </w:rPr>
            </w:pPr>
          </w:p>
        </w:tc>
      </w:tr>
      <w:tr>
        <w:trPr>
          <w:trHeight w:val="293"/>
        </w:trPr>
        <w:tc>
          <w:tcPr>
            <w:tcW w:w="3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Rory Riggs</w:t>
            </w:r>
          </w:p>
        </w:tc>
        <w:tc>
          <w:tcPr>
            <w:tcW w:w="80" w:type="dxa"/>
            <w:vAlign w:val="bottom"/>
          </w:tcPr>
          <w:p>
            <w:pPr>
              <w:spacing w:after="0"/>
              <w:rPr>
                <w:sz w:val="24"/>
                <w:szCs w:val="24"/>
                <w:color w:val="auto"/>
              </w:rPr>
            </w:pPr>
          </w:p>
        </w:tc>
        <w:tc>
          <w:tcPr>
            <w:tcW w:w="52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June 23, 2026</w:t>
            </w:r>
          </w:p>
        </w:tc>
      </w:tr>
      <w:tr>
        <w:trPr>
          <w:trHeight w:val="175"/>
        </w:trPr>
        <w:tc>
          <w:tcPr>
            <w:tcW w:w="3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Rory Riggs</w:t>
            </w:r>
          </w:p>
        </w:tc>
        <w:tc>
          <w:tcPr>
            <w:tcW w:w="8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20" w:type="dxa"/>
            <w:vAlign w:val="bottom"/>
          </w:tcPr>
          <w:p>
            <w:pPr>
              <w:spacing w:after="0"/>
              <w:rPr>
                <w:sz w:val="15"/>
                <w:szCs w:val="15"/>
                <w:color w:val="auto"/>
              </w:rPr>
            </w:pPr>
          </w:p>
        </w:tc>
      </w:tr>
      <w:tr>
        <w:trPr>
          <w:trHeight w:val="293"/>
        </w:trPr>
        <w:tc>
          <w:tcPr>
            <w:tcW w:w="3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Jean-Pierre Lehmann</w:t>
            </w:r>
          </w:p>
        </w:tc>
        <w:tc>
          <w:tcPr>
            <w:tcW w:w="80" w:type="dxa"/>
            <w:vAlign w:val="bottom"/>
          </w:tcPr>
          <w:p>
            <w:pPr>
              <w:spacing w:after="0"/>
              <w:rPr>
                <w:sz w:val="24"/>
                <w:szCs w:val="24"/>
                <w:color w:val="auto"/>
              </w:rPr>
            </w:pPr>
          </w:p>
        </w:tc>
        <w:tc>
          <w:tcPr>
            <w:tcW w:w="52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June 23, 2026</w:t>
            </w:r>
          </w:p>
        </w:tc>
      </w:tr>
      <w:tr>
        <w:trPr>
          <w:trHeight w:val="175"/>
        </w:trPr>
        <w:tc>
          <w:tcPr>
            <w:tcW w:w="3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Jean-Pierre Lehmann</w:t>
            </w:r>
          </w:p>
        </w:tc>
        <w:tc>
          <w:tcPr>
            <w:tcW w:w="8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20" w:type="dxa"/>
            <w:vAlign w:val="bottom"/>
          </w:tcPr>
          <w:p>
            <w:pPr>
              <w:spacing w:after="0"/>
              <w:rPr>
                <w:sz w:val="15"/>
                <w:szCs w:val="15"/>
                <w:color w:val="auto"/>
              </w:rPr>
            </w:pPr>
          </w:p>
        </w:tc>
      </w:tr>
      <w:tr>
        <w:trPr>
          <w:trHeight w:val="293"/>
        </w:trPr>
        <w:tc>
          <w:tcPr>
            <w:tcW w:w="3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Gerhard Prante</w:t>
            </w:r>
          </w:p>
        </w:tc>
        <w:tc>
          <w:tcPr>
            <w:tcW w:w="80" w:type="dxa"/>
            <w:vAlign w:val="bottom"/>
          </w:tcPr>
          <w:p>
            <w:pPr>
              <w:spacing w:after="0"/>
              <w:rPr>
                <w:sz w:val="24"/>
                <w:szCs w:val="24"/>
                <w:color w:val="auto"/>
              </w:rPr>
            </w:pPr>
          </w:p>
        </w:tc>
        <w:tc>
          <w:tcPr>
            <w:tcW w:w="52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June 23, 2026</w:t>
            </w:r>
          </w:p>
        </w:tc>
      </w:tr>
      <w:tr>
        <w:trPr>
          <w:trHeight w:val="175"/>
        </w:trPr>
        <w:tc>
          <w:tcPr>
            <w:tcW w:w="3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Gerhard Prante</w:t>
            </w:r>
          </w:p>
        </w:tc>
        <w:tc>
          <w:tcPr>
            <w:tcW w:w="8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20" w:type="dxa"/>
            <w:vAlign w:val="bottom"/>
          </w:tcPr>
          <w:p>
            <w:pPr>
              <w:spacing w:after="0"/>
              <w:rPr>
                <w:sz w:val="15"/>
                <w:szCs w:val="15"/>
                <w:color w:val="auto"/>
              </w:rPr>
            </w:pPr>
          </w:p>
        </w:tc>
      </w:tr>
      <w:tr>
        <w:trPr>
          <w:trHeight w:val="293"/>
        </w:trPr>
        <w:tc>
          <w:tcPr>
            <w:tcW w:w="3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August Moretti</w:t>
            </w:r>
          </w:p>
        </w:tc>
        <w:tc>
          <w:tcPr>
            <w:tcW w:w="80" w:type="dxa"/>
            <w:vAlign w:val="bottom"/>
          </w:tcPr>
          <w:p>
            <w:pPr>
              <w:spacing w:after="0"/>
              <w:rPr>
                <w:sz w:val="24"/>
                <w:szCs w:val="24"/>
                <w:color w:val="auto"/>
              </w:rPr>
            </w:pPr>
          </w:p>
        </w:tc>
        <w:tc>
          <w:tcPr>
            <w:tcW w:w="52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June 23, 2026</w:t>
            </w:r>
          </w:p>
        </w:tc>
      </w:tr>
      <w:tr>
        <w:trPr>
          <w:trHeight w:val="175"/>
        </w:trPr>
        <w:tc>
          <w:tcPr>
            <w:tcW w:w="3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August Moretti</w:t>
            </w:r>
          </w:p>
        </w:tc>
        <w:tc>
          <w:tcPr>
            <w:tcW w:w="8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20" w:type="dxa"/>
            <w:vAlign w:val="bottom"/>
          </w:tcPr>
          <w:p>
            <w:pPr>
              <w:spacing w:after="0"/>
              <w:rPr>
                <w:sz w:val="15"/>
                <w:szCs w:val="15"/>
                <w:color w:val="auto"/>
              </w:rPr>
            </w:pPr>
          </w:p>
        </w:tc>
      </w:tr>
      <w:tr>
        <w:trPr>
          <w:trHeight w:val="293"/>
        </w:trPr>
        <w:tc>
          <w:tcPr>
            <w:tcW w:w="3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Kimberly A. Box</w:t>
            </w:r>
          </w:p>
        </w:tc>
        <w:tc>
          <w:tcPr>
            <w:tcW w:w="80" w:type="dxa"/>
            <w:vAlign w:val="bottom"/>
          </w:tcPr>
          <w:p>
            <w:pPr>
              <w:spacing w:after="0"/>
              <w:rPr>
                <w:sz w:val="24"/>
                <w:szCs w:val="24"/>
                <w:color w:val="auto"/>
              </w:rPr>
            </w:pPr>
          </w:p>
        </w:tc>
        <w:tc>
          <w:tcPr>
            <w:tcW w:w="52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June 23, 2026</w:t>
            </w:r>
          </w:p>
        </w:tc>
      </w:tr>
      <w:tr>
        <w:trPr>
          <w:trHeight w:val="175"/>
        </w:trPr>
        <w:tc>
          <w:tcPr>
            <w:tcW w:w="3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Kimberly A. Box</w:t>
            </w:r>
          </w:p>
        </w:tc>
        <w:tc>
          <w:tcPr>
            <w:tcW w:w="8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20" w:type="dxa"/>
            <w:vAlign w:val="bottom"/>
          </w:tcPr>
          <w:p>
            <w:pPr>
              <w:spacing w:after="0"/>
              <w:rPr>
                <w:sz w:val="15"/>
                <w:szCs w:val="15"/>
                <w:color w:val="auto"/>
              </w:rPr>
            </w:pPr>
          </w:p>
        </w:tc>
      </w:tr>
      <w:tr>
        <w:trPr>
          <w:trHeight w:val="293"/>
        </w:trPr>
        <w:tc>
          <w:tcPr>
            <w:tcW w:w="3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Thomas Urban</w:t>
            </w:r>
          </w:p>
        </w:tc>
        <w:tc>
          <w:tcPr>
            <w:tcW w:w="80" w:type="dxa"/>
            <w:vAlign w:val="bottom"/>
          </w:tcPr>
          <w:p>
            <w:pPr>
              <w:spacing w:after="0"/>
              <w:rPr>
                <w:sz w:val="24"/>
                <w:szCs w:val="24"/>
                <w:color w:val="auto"/>
              </w:rPr>
            </w:pPr>
          </w:p>
        </w:tc>
        <w:tc>
          <w:tcPr>
            <w:tcW w:w="52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June 23, 2026</w:t>
            </w:r>
          </w:p>
        </w:tc>
      </w:tr>
      <w:tr>
        <w:trPr>
          <w:trHeight w:val="175"/>
        </w:trPr>
        <w:tc>
          <w:tcPr>
            <w:tcW w:w="3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Thomas Urban</w:t>
            </w:r>
          </w:p>
        </w:tc>
        <w:tc>
          <w:tcPr>
            <w:tcW w:w="8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20" w:type="dxa"/>
            <w:vAlign w:val="bottom"/>
          </w:tcPr>
          <w:p>
            <w:pPr>
              <w:spacing w:after="0"/>
              <w:rPr>
                <w:sz w:val="15"/>
                <w:szCs w:val="15"/>
                <w:color w:val="auto"/>
              </w:rPr>
            </w:pPr>
          </w:p>
        </w:tc>
      </w:tr>
    </w:tbl>
    <w:p>
      <w:pPr>
        <w:sectPr>
          <w:pgSz w:w="11900" w:h="16838" w:orient="portrait"/>
          <w:cols w:equalWidth="0" w:num="1">
            <w:col w:w="11280"/>
          </w:cols>
          <w:pgMar w:left="300" w:top="929" w:right="319" w:bottom="1440" w:gutter="0" w:footer="0" w:header="0"/>
        </w:sectPr>
      </w:pPr>
    </w:p>
    <w:bookmarkStart w:id="5" w:name="page6"/>
    <w:bookmarkEnd w:id="5"/>
    <w:p>
      <w:pPr>
        <w:ind w:left="10580"/>
        <w:spacing w:after="0"/>
        <w:rPr>
          <w:sz w:val="20"/>
          <w:szCs w:val="20"/>
          <w:color w:val="auto"/>
        </w:rPr>
      </w:pPr>
      <w:r>
        <w:rPr>
          <w:rFonts w:ascii="Times New Roman" w:cs="Times New Roman" w:eastAsia="Times New Roman" w:hAnsi="Times New Roman"/>
          <w:sz w:val="14"/>
          <w:szCs w:val="14"/>
          <w:b w:val="1"/>
          <w:bCs w:val="1"/>
          <w:color w:val="auto"/>
        </w:rPr>
        <w:t>Exhibit 107</w:t>
      </w:r>
    </w:p>
    <w:p>
      <w:pPr>
        <w:spacing w:after="0" w:line="1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Calculation of Filing Fee Table</w:t>
      </w:r>
    </w:p>
    <w:p>
      <w:pPr>
        <w:spacing w:after="0" w:line="1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Form S-8</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(Form Type)</w:t>
      </w:r>
    </w:p>
    <w:p>
      <w:pPr>
        <w:spacing w:after="0" w:line="1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Cibus, Inc.</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1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Table 1 – Newly Registered Securities</w:t>
      </w:r>
    </w:p>
    <w:p>
      <w:pPr>
        <w:spacing w:after="0" w:line="27" w:lineRule="exact"/>
        <w:rPr>
          <w:sz w:val="20"/>
          <w:szCs w:val="20"/>
          <w:color w:val="auto"/>
        </w:rPr>
      </w:pPr>
    </w:p>
    <w:tbl>
      <w:tblPr>
        <w:tblLayout w:type="fixed"/>
        <w:tblInd w:w="10" w:type="dxa"/>
        <w:tblCellMar>
          <w:top w:w="0" w:type="dxa"/>
          <w:left w:w="0" w:type="dxa"/>
          <w:bottom w:w="0" w:type="dxa"/>
          <w:right w:w="0" w:type="dxa"/>
        </w:tblCellMar>
      </w:tblPr>
      <w:tr>
        <w:trPr>
          <w:trHeight w:val="159"/>
        </w:trPr>
        <w:tc>
          <w:tcPr>
            <w:tcW w:w="1000" w:type="dxa"/>
            <w:vAlign w:val="bottom"/>
            <w:tcBorders>
              <w:top w:val="single" w:sz="8" w:color="auto"/>
              <w:left w:val="single" w:sz="8" w:color="auto"/>
              <w:right w:val="single" w:sz="8" w:color="auto"/>
            </w:tcBorders>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Security</w:t>
            </w:r>
          </w:p>
        </w:tc>
        <w:tc>
          <w:tcPr>
            <w:tcW w:w="1240" w:type="dxa"/>
            <w:vAlign w:val="bottom"/>
            <w:tcBorders>
              <w:top w:val="single" w:sz="8" w:color="auto"/>
              <w:right w:val="single" w:sz="8" w:color="auto"/>
            </w:tcBorders>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Security Class</w:t>
            </w:r>
          </w:p>
        </w:tc>
        <w:tc>
          <w:tcPr>
            <w:tcW w:w="1340" w:type="dxa"/>
            <w:vAlign w:val="bottom"/>
            <w:tcBorders>
              <w:top w:val="single" w:sz="8" w:color="auto"/>
              <w:right w:val="single" w:sz="8" w:color="auto"/>
            </w:tcBorders>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Fee Calculation</w:t>
            </w:r>
          </w:p>
        </w:tc>
        <w:tc>
          <w:tcPr>
            <w:tcW w:w="1360" w:type="dxa"/>
            <w:vAlign w:val="bottom"/>
            <w:tcBorders>
              <w:top w:val="single" w:sz="8" w:color="auto"/>
              <w:right w:val="single" w:sz="8" w:color="auto"/>
            </w:tcBorders>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260" w:type="dxa"/>
            <w:vAlign w:val="bottom"/>
            <w:tcBorders>
              <w:top w:val="single" w:sz="8" w:color="auto"/>
              <w:right w:val="single" w:sz="8" w:color="auto"/>
            </w:tcBorders>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w w:val="99"/>
              </w:rPr>
              <w:t>Proposed</w:t>
            </w:r>
          </w:p>
        </w:tc>
        <w:tc>
          <w:tcPr>
            <w:tcW w:w="1580" w:type="dxa"/>
            <w:vAlign w:val="bottom"/>
            <w:tcBorders>
              <w:top w:val="single" w:sz="8" w:color="auto"/>
              <w:right w:val="single" w:sz="8" w:color="auto"/>
            </w:tcBorders>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2120" w:type="dxa"/>
            <w:vAlign w:val="bottom"/>
            <w:tcBorders>
              <w:top w:val="single" w:sz="8" w:color="auto"/>
              <w:right w:val="single" w:sz="8" w:color="auto"/>
            </w:tcBorders>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w w:val="99"/>
              </w:rPr>
              <w:t>Fee Rate</w:t>
            </w:r>
          </w:p>
        </w:tc>
        <w:tc>
          <w:tcPr>
            <w:tcW w:w="1400" w:type="dxa"/>
            <w:vAlign w:val="bottom"/>
            <w:tcBorders>
              <w:top w:val="single" w:sz="8" w:color="auto"/>
              <w:right w:val="single" w:sz="8" w:color="auto"/>
            </w:tcBorders>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Amount of</w:t>
            </w:r>
          </w:p>
        </w:tc>
      </w:tr>
      <w:tr>
        <w:trPr>
          <w:trHeight w:val="170"/>
        </w:trPr>
        <w:tc>
          <w:tcPr>
            <w:tcW w:w="10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Type</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Rule</w:t>
            </w:r>
          </w:p>
        </w:tc>
        <w:tc>
          <w:tcPr>
            <w:tcW w:w="1360" w:type="dxa"/>
            <w:vAlign w:val="bottom"/>
            <w:tcBorders>
              <w:right w:val="single" w:sz="8" w:color="auto"/>
            </w:tcBorders>
          </w:tcPr>
          <w:p>
            <w:pPr>
              <w:jc w:val="center"/>
              <w:spacing w:after="0" w:line="170" w:lineRule="exact"/>
              <w:rPr>
                <w:sz w:val="20"/>
                <w:szCs w:val="20"/>
                <w:color w:val="auto"/>
              </w:rPr>
            </w:pPr>
            <w:r>
              <w:rPr>
                <w:rFonts w:ascii="Times New Roman" w:cs="Times New Roman" w:eastAsia="Times New Roman" w:hAnsi="Times New Roman"/>
                <w:sz w:val="14"/>
                <w:szCs w:val="14"/>
                <w:b w:val="1"/>
                <w:bCs w:val="1"/>
                <w:color w:val="auto"/>
                <w:w w:val="98"/>
              </w:rPr>
              <w:t xml:space="preserve">Registered </w:t>
            </w:r>
            <w:r>
              <w:rPr>
                <w:rFonts w:ascii="Times New Roman" w:cs="Times New Roman" w:eastAsia="Times New Roman" w:hAnsi="Times New Roman"/>
                <w:sz w:val="18"/>
                <w:szCs w:val="18"/>
                <w:b w:val="1"/>
                <w:bCs w:val="1"/>
                <w:color w:val="auto"/>
                <w:w w:val="98"/>
                <w:vertAlign w:val="superscript"/>
              </w:rPr>
              <w:t>(1)</w:t>
            </w: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Maximum</w:t>
            </w: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2120" w:type="dxa"/>
            <w:vAlign w:val="bottom"/>
            <w:tcBorders>
              <w:right w:val="single" w:sz="8" w:color="auto"/>
            </w:tcBorders>
          </w:tcPr>
          <w:p>
            <w:pPr>
              <w:spacing w:after="0"/>
              <w:rPr>
                <w:sz w:val="14"/>
                <w:szCs w:val="14"/>
                <w:color w:val="auto"/>
              </w:rPr>
            </w:pP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Registration Fee</w:t>
            </w:r>
          </w:p>
        </w:tc>
      </w:tr>
      <w:tr>
        <w:trPr>
          <w:trHeight w:val="106"/>
        </w:trPr>
        <w:tc>
          <w:tcPr>
            <w:tcW w:w="1000" w:type="dxa"/>
            <w:vAlign w:val="bottom"/>
            <w:tcBorders>
              <w:left w:val="single" w:sz="8" w:color="auto"/>
              <w:right w:val="single" w:sz="8" w:color="auto"/>
            </w:tcBorders>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1340" w:type="dxa"/>
            <w:vAlign w:val="bottom"/>
            <w:tcBorders>
              <w:right w:val="single" w:sz="8" w:color="auto"/>
            </w:tcBorders>
          </w:tcPr>
          <w:p>
            <w:pPr>
              <w:spacing w:after="0"/>
              <w:rPr>
                <w:sz w:val="9"/>
                <w:szCs w:val="9"/>
                <w:color w:val="auto"/>
              </w:rPr>
            </w:pPr>
          </w:p>
        </w:tc>
        <w:tc>
          <w:tcPr>
            <w:tcW w:w="1360" w:type="dxa"/>
            <w:vAlign w:val="bottom"/>
            <w:tcBorders>
              <w:right w:val="single" w:sz="8" w:color="auto"/>
            </w:tcBorders>
          </w:tcPr>
          <w:p>
            <w:pPr>
              <w:spacing w:after="0"/>
              <w:rPr>
                <w:sz w:val="9"/>
                <w:szCs w:val="9"/>
                <w:color w:val="auto"/>
              </w:rPr>
            </w:pPr>
          </w:p>
        </w:tc>
        <w:tc>
          <w:tcPr>
            <w:tcW w:w="1260" w:type="dxa"/>
            <w:vAlign w:val="bottom"/>
            <w:tcBorders>
              <w:right w:val="single" w:sz="8" w:color="auto"/>
            </w:tcBorders>
          </w:tcPr>
          <w:p>
            <w:pPr>
              <w:jc w:val="center"/>
              <w:spacing w:after="0" w:line="106" w:lineRule="exact"/>
              <w:rPr>
                <w:sz w:val="20"/>
                <w:szCs w:val="20"/>
                <w:color w:val="auto"/>
              </w:rPr>
            </w:pPr>
            <w:r>
              <w:rPr>
                <w:rFonts w:ascii="Times New Roman" w:cs="Times New Roman" w:eastAsia="Times New Roman" w:hAnsi="Times New Roman"/>
                <w:sz w:val="12"/>
                <w:szCs w:val="12"/>
                <w:b w:val="1"/>
                <w:bCs w:val="1"/>
                <w:color w:val="auto"/>
              </w:rPr>
              <w:t>Offering</w:t>
            </w:r>
          </w:p>
        </w:tc>
        <w:tc>
          <w:tcPr>
            <w:tcW w:w="1580" w:type="dxa"/>
            <w:vAlign w:val="bottom"/>
            <w:tcBorders>
              <w:right w:val="single" w:sz="8" w:color="auto"/>
            </w:tcBorders>
          </w:tcPr>
          <w:p>
            <w:pPr>
              <w:jc w:val="center"/>
              <w:spacing w:after="0" w:line="106" w:lineRule="exact"/>
              <w:rPr>
                <w:sz w:val="20"/>
                <w:szCs w:val="20"/>
                <w:color w:val="auto"/>
              </w:rPr>
            </w:pPr>
            <w:r>
              <w:rPr>
                <w:rFonts w:ascii="Times New Roman" w:cs="Times New Roman" w:eastAsia="Times New Roman" w:hAnsi="Times New Roman"/>
                <w:sz w:val="12"/>
                <w:szCs w:val="12"/>
                <w:b w:val="1"/>
                <w:bCs w:val="1"/>
                <w:color w:val="auto"/>
              </w:rPr>
              <w:t>Offering Price</w:t>
            </w:r>
          </w:p>
        </w:tc>
        <w:tc>
          <w:tcPr>
            <w:tcW w:w="2120" w:type="dxa"/>
            <w:vAlign w:val="bottom"/>
            <w:tcBorders>
              <w:right w:val="single" w:sz="8" w:color="auto"/>
            </w:tcBorders>
          </w:tcPr>
          <w:p>
            <w:pPr>
              <w:spacing w:after="0"/>
              <w:rPr>
                <w:sz w:val="9"/>
                <w:szCs w:val="9"/>
                <w:color w:val="auto"/>
              </w:rPr>
            </w:pPr>
          </w:p>
        </w:tc>
        <w:tc>
          <w:tcPr>
            <w:tcW w:w="1400" w:type="dxa"/>
            <w:vAlign w:val="bottom"/>
            <w:tcBorders>
              <w:right w:val="single" w:sz="8" w:color="auto"/>
            </w:tcBorders>
          </w:tcPr>
          <w:p>
            <w:pPr>
              <w:spacing w:after="0"/>
              <w:rPr>
                <w:sz w:val="9"/>
                <w:szCs w:val="9"/>
                <w:color w:val="auto"/>
              </w:rPr>
            </w:pPr>
          </w:p>
        </w:tc>
      </w:tr>
      <w:tr>
        <w:trPr>
          <w:trHeight w:val="138"/>
        </w:trPr>
        <w:tc>
          <w:tcPr>
            <w:tcW w:w="1000" w:type="dxa"/>
            <w:vAlign w:val="bottom"/>
            <w:tcBorders>
              <w:left w:val="single" w:sz="8" w:color="auto"/>
              <w:right w:val="single" w:sz="8" w:color="auto"/>
            </w:tcBorders>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tcPr>
          <w:p>
            <w:pPr>
              <w:jc w:val="center"/>
              <w:spacing w:after="0" w:line="138"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1580" w:type="dxa"/>
            <w:vAlign w:val="bottom"/>
            <w:tcBorders>
              <w:right w:val="single" w:sz="8" w:color="auto"/>
            </w:tcBorders>
          </w:tcPr>
          <w:p>
            <w:pPr>
              <w:spacing w:after="0"/>
              <w:rPr>
                <w:sz w:val="11"/>
                <w:szCs w:val="11"/>
                <w:color w:val="auto"/>
              </w:rPr>
            </w:pPr>
          </w:p>
        </w:tc>
        <w:tc>
          <w:tcPr>
            <w:tcW w:w="2120" w:type="dxa"/>
            <w:vAlign w:val="bottom"/>
            <w:tcBorders>
              <w:right w:val="single" w:sz="8" w:color="auto"/>
            </w:tcBorders>
          </w:tcPr>
          <w:p>
            <w:pPr>
              <w:spacing w:after="0"/>
              <w:rPr>
                <w:sz w:val="11"/>
                <w:szCs w:val="11"/>
                <w:color w:val="auto"/>
              </w:rPr>
            </w:pPr>
          </w:p>
        </w:tc>
        <w:tc>
          <w:tcPr>
            <w:tcW w:w="1400" w:type="dxa"/>
            <w:vAlign w:val="bottom"/>
            <w:tcBorders>
              <w:right w:val="single" w:sz="8" w:color="auto"/>
            </w:tcBorders>
          </w:tcPr>
          <w:p>
            <w:pPr>
              <w:spacing w:after="0"/>
              <w:rPr>
                <w:sz w:val="11"/>
                <w:szCs w:val="11"/>
                <w:color w:val="auto"/>
              </w:rPr>
            </w:pPr>
          </w:p>
        </w:tc>
      </w:tr>
      <w:tr>
        <w:trPr>
          <w:trHeight w:val="188"/>
        </w:trPr>
        <w:tc>
          <w:tcPr>
            <w:tcW w:w="1000" w:type="dxa"/>
            <w:vAlign w:val="bottom"/>
            <w:tcBorders>
              <w:left w:val="single" w:sz="8" w:color="auto"/>
              <w:bottom w:val="single" w:sz="8" w:color="auto"/>
              <w:right w:val="single" w:sz="8" w:color="auto"/>
            </w:tcBorders>
          </w:tcPr>
          <w:p>
            <w:pPr>
              <w:spacing w:after="0"/>
              <w:rPr>
                <w:sz w:val="16"/>
                <w:szCs w:val="16"/>
                <w:color w:val="auto"/>
              </w:rPr>
            </w:pPr>
          </w:p>
        </w:tc>
        <w:tc>
          <w:tcPr>
            <w:tcW w:w="1240" w:type="dxa"/>
            <w:vAlign w:val="bottom"/>
            <w:tcBorders>
              <w:bottom w:val="single" w:sz="8" w:color="auto"/>
              <w:right w:val="single" w:sz="8" w:color="auto"/>
            </w:tcBorders>
          </w:tcPr>
          <w:p>
            <w:pPr>
              <w:spacing w:after="0"/>
              <w:rPr>
                <w:sz w:val="16"/>
                <w:szCs w:val="16"/>
                <w:color w:val="auto"/>
              </w:rPr>
            </w:pPr>
          </w:p>
        </w:tc>
        <w:tc>
          <w:tcPr>
            <w:tcW w:w="1340" w:type="dxa"/>
            <w:vAlign w:val="bottom"/>
            <w:tcBorders>
              <w:bottom w:val="single" w:sz="8" w:color="auto"/>
              <w:right w:val="single" w:sz="8" w:color="auto"/>
            </w:tcBorders>
          </w:tcPr>
          <w:p>
            <w:pPr>
              <w:spacing w:after="0"/>
              <w:rPr>
                <w:sz w:val="16"/>
                <w:szCs w:val="16"/>
                <w:color w:val="auto"/>
              </w:rPr>
            </w:pPr>
          </w:p>
        </w:tc>
        <w:tc>
          <w:tcPr>
            <w:tcW w:w="1360" w:type="dxa"/>
            <w:vAlign w:val="bottom"/>
            <w:tcBorders>
              <w:bottom w:val="single" w:sz="8" w:color="auto"/>
              <w:right w:val="single" w:sz="8" w:color="auto"/>
            </w:tcBorders>
          </w:tcPr>
          <w:p>
            <w:pPr>
              <w:spacing w:after="0"/>
              <w:rPr>
                <w:sz w:val="16"/>
                <w:szCs w:val="16"/>
                <w:color w:val="auto"/>
              </w:rPr>
            </w:pP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Unit</w:t>
            </w:r>
          </w:p>
        </w:tc>
        <w:tc>
          <w:tcPr>
            <w:tcW w:w="1580" w:type="dxa"/>
            <w:vAlign w:val="bottom"/>
            <w:tcBorders>
              <w:bottom w:val="single" w:sz="8" w:color="auto"/>
              <w:right w:val="single" w:sz="8" w:color="auto"/>
            </w:tcBorders>
          </w:tcPr>
          <w:p>
            <w:pPr>
              <w:spacing w:after="0"/>
              <w:rPr>
                <w:sz w:val="16"/>
                <w:szCs w:val="16"/>
                <w:color w:val="auto"/>
              </w:rPr>
            </w:pPr>
          </w:p>
        </w:tc>
        <w:tc>
          <w:tcPr>
            <w:tcW w:w="2120" w:type="dxa"/>
            <w:vAlign w:val="bottom"/>
            <w:tcBorders>
              <w:bottom w:val="single" w:sz="8" w:color="auto"/>
              <w:right w:val="single" w:sz="8" w:color="auto"/>
            </w:tcBorders>
          </w:tcPr>
          <w:p>
            <w:pPr>
              <w:spacing w:after="0"/>
              <w:rPr>
                <w:sz w:val="16"/>
                <w:szCs w:val="16"/>
                <w:color w:val="auto"/>
              </w:rPr>
            </w:pPr>
          </w:p>
        </w:tc>
        <w:tc>
          <w:tcPr>
            <w:tcW w:w="1400" w:type="dxa"/>
            <w:vAlign w:val="bottom"/>
            <w:tcBorders>
              <w:bottom w:val="single" w:sz="8" w:color="auto"/>
              <w:right w:val="single" w:sz="8" w:color="auto"/>
            </w:tcBorders>
          </w:tcPr>
          <w:p>
            <w:pPr>
              <w:spacing w:after="0"/>
              <w:rPr>
                <w:sz w:val="16"/>
                <w:szCs w:val="16"/>
                <w:color w:val="auto"/>
              </w:rPr>
            </w:pPr>
          </w:p>
        </w:tc>
      </w:tr>
      <w:tr>
        <w:trPr>
          <w:trHeight w:val="142"/>
        </w:trPr>
        <w:tc>
          <w:tcPr>
            <w:tcW w:w="1000" w:type="dxa"/>
            <w:vAlign w:val="bottom"/>
            <w:tcBorders>
              <w:left w:val="single" w:sz="8" w:color="auto"/>
              <w:right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color w:val="auto"/>
              </w:rPr>
              <w:t>Equity</w:t>
            </w:r>
          </w:p>
        </w:tc>
        <w:tc>
          <w:tcPr>
            <w:tcW w:w="1240" w:type="dxa"/>
            <w:vAlign w:val="bottom"/>
            <w:tcBorders>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Class A Common</w:t>
            </w:r>
          </w:p>
        </w:tc>
        <w:tc>
          <w:tcPr>
            <w:tcW w:w="1340" w:type="dxa"/>
            <w:vAlign w:val="bottom"/>
            <w:tcBorders>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Other</w:t>
            </w:r>
          </w:p>
        </w:tc>
        <w:tc>
          <w:tcPr>
            <w:tcW w:w="1360" w:type="dxa"/>
            <w:vAlign w:val="bottom"/>
            <w:tcBorders>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color w:val="auto"/>
              </w:rPr>
              <w:t xml:space="preserve">4,080,827 </w:t>
            </w:r>
            <w:r>
              <w:rPr>
                <w:rFonts w:ascii="Times New Roman" w:cs="Times New Roman" w:eastAsia="Times New Roman" w:hAnsi="Times New Roman"/>
                <w:sz w:val="16"/>
                <w:szCs w:val="16"/>
                <w:color w:val="auto"/>
                <w:vertAlign w:val="superscript"/>
              </w:rPr>
              <w:t>(2)</w:t>
            </w:r>
          </w:p>
        </w:tc>
        <w:tc>
          <w:tcPr>
            <w:tcW w:w="1260" w:type="dxa"/>
            <w:vAlign w:val="bottom"/>
            <w:tcBorders>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color w:val="auto"/>
              </w:rPr>
              <w:t xml:space="preserve">$1.30 </w:t>
            </w:r>
            <w:r>
              <w:rPr>
                <w:rFonts w:ascii="Times New Roman" w:cs="Times New Roman" w:eastAsia="Times New Roman" w:hAnsi="Times New Roman"/>
                <w:sz w:val="16"/>
                <w:szCs w:val="16"/>
                <w:color w:val="auto"/>
                <w:vertAlign w:val="superscript"/>
              </w:rPr>
              <w:t>(3)</w:t>
            </w:r>
          </w:p>
        </w:tc>
        <w:tc>
          <w:tcPr>
            <w:tcW w:w="1580" w:type="dxa"/>
            <w:vAlign w:val="bottom"/>
            <w:tcBorders>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w w:val="99"/>
              </w:rPr>
              <w:t>$5,305,075.10</w:t>
            </w:r>
          </w:p>
        </w:tc>
        <w:tc>
          <w:tcPr>
            <w:tcW w:w="2120" w:type="dxa"/>
            <w:vAlign w:val="bottom"/>
            <w:tcBorders>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$138.10 per $1,000,000</w:t>
            </w:r>
          </w:p>
        </w:tc>
        <w:tc>
          <w:tcPr>
            <w:tcW w:w="1400" w:type="dxa"/>
            <w:vAlign w:val="bottom"/>
            <w:tcBorders>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$732.63</w:t>
            </w:r>
          </w:p>
        </w:tc>
      </w:tr>
      <w:tr>
        <w:trPr>
          <w:trHeight w:val="134"/>
        </w:trPr>
        <w:tc>
          <w:tcPr>
            <w:tcW w:w="1000" w:type="dxa"/>
            <w:vAlign w:val="bottom"/>
            <w:tcBorders>
              <w:left w:val="single" w:sz="8" w:color="auto"/>
              <w:right w:val="single" w:sz="8" w:color="auto"/>
            </w:tcBorders>
          </w:tcPr>
          <w:p>
            <w:pPr>
              <w:spacing w:after="0"/>
              <w:rPr>
                <w:sz w:val="11"/>
                <w:szCs w:val="11"/>
                <w:color w:val="auto"/>
              </w:rPr>
            </w:pPr>
          </w:p>
        </w:tc>
        <w:tc>
          <w:tcPr>
            <w:tcW w:w="1240" w:type="dxa"/>
            <w:vAlign w:val="bottom"/>
            <w:tcBorders>
              <w:right w:val="single" w:sz="8" w:color="auto"/>
            </w:tcBorders>
          </w:tcPr>
          <w:p>
            <w:pPr>
              <w:jc w:val="center"/>
              <w:spacing w:after="0" w:line="134" w:lineRule="exact"/>
              <w:rPr>
                <w:sz w:val="20"/>
                <w:szCs w:val="20"/>
                <w:color w:val="auto"/>
              </w:rPr>
            </w:pPr>
            <w:r>
              <w:rPr>
                <w:rFonts w:ascii="Times New Roman" w:cs="Times New Roman" w:eastAsia="Times New Roman" w:hAnsi="Times New Roman"/>
                <w:sz w:val="14"/>
                <w:szCs w:val="14"/>
                <w:color w:val="auto"/>
              </w:rPr>
              <w:t>Stock, par value</w:t>
            </w:r>
          </w:p>
        </w:tc>
        <w:tc>
          <w:tcPr>
            <w:tcW w:w="134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tcPr>
          <w:p>
            <w:pPr>
              <w:spacing w:after="0"/>
              <w:rPr>
                <w:sz w:val="11"/>
                <w:szCs w:val="11"/>
                <w:color w:val="auto"/>
              </w:rPr>
            </w:pPr>
          </w:p>
        </w:tc>
        <w:tc>
          <w:tcPr>
            <w:tcW w:w="1580" w:type="dxa"/>
            <w:vAlign w:val="bottom"/>
            <w:tcBorders>
              <w:right w:val="single" w:sz="8" w:color="auto"/>
            </w:tcBorders>
          </w:tcPr>
          <w:p>
            <w:pPr>
              <w:spacing w:after="0"/>
              <w:rPr>
                <w:sz w:val="11"/>
                <w:szCs w:val="11"/>
                <w:color w:val="auto"/>
              </w:rPr>
            </w:pPr>
          </w:p>
        </w:tc>
        <w:tc>
          <w:tcPr>
            <w:tcW w:w="2120" w:type="dxa"/>
            <w:vAlign w:val="bottom"/>
            <w:tcBorders>
              <w:right w:val="single" w:sz="8" w:color="auto"/>
            </w:tcBorders>
          </w:tcPr>
          <w:p>
            <w:pPr>
              <w:spacing w:after="0"/>
              <w:rPr>
                <w:sz w:val="11"/>
                <w:szCs w:val="11"/>
                <w:color w:val="auto"/>
              </w:rPr>
            </w:pPr>
          </w:p>
        </w:tc>
        <w:tc>
          <w:tcPr>
            <w:tcW w:w="1400" w:type="dxa"/>
            <w:vAlign w:val="bottom"/>
            <w:tcBorders>
              <w:right w:val="single" w:sz="8" w:color="auto"/>
            </w:tcBorders>
          </w:tcPr>
          <w:p>
            <w:pPr>
              <w:spacing w:after="0"/>
              <w:rPr>
                <w:sz w:val="11"/>
                <w:szCs w:val="11"/>
                <w:color w:val="auto"/>
              </w:rPr>
            </w:pPr>
          </w:p>
        </w:tc>
      </w:tr>
      <w:tr>
        <w:trPr>
          <w:trHeight w:val="184"/>
        </w:trPr>
        <w:tc>
          <w:tcPr>
            <w:tcW w:w="1000" w:type="dxa"/>
            <w:vAlign w:val="bottom"/>
            <w:tcBorders>
              <w:left w:val="single" w:sz="8" w:color="auto"/>
              <w:bottom w:val="single" w:sz="8" w:color="auto"/>
              <w:right w:val="single" w:sz="8" w:color="auto"/>
            </w:tcBorders>
          </w:tcPr>
          <w:p>
            <w:pPr>
              <w:spacing w:after="0"/>
              <w:rPr>
                <w:sz w:val="16"/>
                <w:szCs w:val="16"/>
                <w:color w:val="auto"/>
              </w:rPr>
            </w:pP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$0.0001 per share</w:t>
            </w:r>
          </w:p>
        </w:tc>
        <w:tc>
          <w:tcPr>
            <w:tcW w:w="1340" w:type="dxa"/>
            <w:vAlign w:val="bottom"/>
            <w:tcBorders>
              <w:bottom w:val="single" w:sz="8" w:color="auto"/>
              <w:right w:val="single" w:sz="8" w:color="auto"/>
            </w:tcBorders>
          </w:tcPr>
          <w:p>
            <w:pPr>
              <w:spacing w:after="0"/>
              <w:rPr>
                <w:sz w:val="16"/>
                <w:szCs w:val="16"/>
                <w:color w:val="auto"/>
              </w:rPr>
            </w:pPr>
          </w:p>
        </w:tc>
        <w:tc>
          <w:tcPr>
            <w:tcW w:w="1360" w:type="dxa"/>
            <w:vAlign w:val="bottom"/>
            <w:tcBorders>
              <w:bottom w:val="single" w:sz="8" w:color="auto"/>
              <w:right w:val="single" w:sz="8" w:color="auto"/>
            </w:tcBorders>
          </w:tcPr>
          <w:p>
            <w:pPr>
              <w:spacing w:after="0"/>
              <w:rPr>
                <w:sz w:val="16"/>
                <w:szCs w:val="16"/>
                <w:color w:val="auto"/>
              </w:rPr>
            </w:pPr>
          </w:p>
        </w:tc>
        <w:tc>
          <w:tcPr>
            <w:tcW w:w="1260" w:type="dxa"/>
            <w:vAlign w:val="bottom"/>
            <w:tcBorders>
              <w:bottom w:val="single" w:sz="8" w:color="auto"/>
              <w:right w:val="single" w:sz="8" w:color="auto"/>
            </w:tcBorders>
          </w:tcPr>
          <w:p>
            <w:pPr>
              <w:spacing w:after="0"/>
              <w:rPr>
                <w:sz w:val="16"/>
                <w:szCs w:val="16"/>
                <w:color w:val="auto"/>
              </w:rPr>
            </w:pPr>
          </w:p>
        </w:tc>
        <w:tc>
          <w:tcPr>
            <w:tcW w:w="1580" w:type="dxa"/>
            <w:vAlign w:val="bottom"/>
            <w:tcBorders>
              <w:bottom w:val="single" w:sz="8" w:color="auto"/>
              <w:right w:val="single" w:sz="8" w:color="auto"/>
            </w:tcBorders>
          </w:tcPr>
          <w:p>
            <w:pPr>
              <w:spacing w:after="0"/>
              <w:rPr>
                <w:sz w:val="16"/>
                <w:szCs w:val="16"/>
                <w:color w:val="auto"/>
              </w:rPr>
            </w:pPr>
          </w:p>
        </w:tc>
        <w:tc>
          <w:tcPr>
            <w:tcW w:w="2120" w:type="dxa"/>
            <w:vAlign w:val="bottom"/>
            <w:tcBorders>
              <w:bottom w:val="single" w:sz="8" w:color="auto"/>
              <w:right w:val="single" w:sz="8" w:color="auto"/>
            </w:tcBorders>
          </w:tcPr>
          <w:p>
            <w:pPr>
              <w:spacing w:after="0"/>
              <w:rPr>
                <w:sz w:val="16"/>
                <w:szCs w:val="16"/>
                <w:color w:val="auto"/>
              </w:rPr>
            </w:pPr>
          </w:p>
        </w:tc>
        <w:tc>
          <w:tcPr>
            <w:tcW w:w="1400" w:type="dxa"/>
            <w:vAlign w:val="bottom"/>
            <w:tcBorders>
              <w:bottom w:val="single" w:sz="8" w:color="auto"/>
              <w:right w:val="single" w:sz="8" w:color="auto"/>
            </w:tcBorders>
          </w:tcPr>
          <w:p>
            <w:pPr>
              <w:spacing w:after="0"/>
              <w:rPr>
                <w:sz w:val="16"/>
                <w:szCs w:val="16"/>
                <w:color w:val="auto"/>
              </w:rPr>
            </w:pPr>
          </w:p>
        </w:tc>
      </w:tr>
      <w:tr>
        <w:trPr>
          <w:trHeight w:val="171"/>
        </w:trPr>
        <w:tc>
          <w:tcPr>
            <w:tcW w:w="1000" w:type="dxa"/>
            <w:vAlign w:val="bottom"/>
            <w:tcBorders>
              <w:left w:val="single" w:sz="8" w:color="auto"/>
              <w:bottom w:val="single" w:sz="8" w:color="auto"/>
            </w:tcBorders>
          </w:tcPr>
          <w:p>
            <w:pPr>
              <w:spacing w:after="0"/>
              <w:rPr>
                <w:sz w:val="14"/>
                <w:szCs w:val="14"/>
                <w:color w:val="auto"/>
              </w:rPr>
            </w:pPr>
          </w:p>
        </w:tc>
        <w:tc>
          <w:tcPr>
            <w:tcW w:w="2580" w:type="dxa"/>
            <w:vAlign w:val="bottom"/>
            <w:tcBorders>
              <w:bottom w:val="single" w:sz="8" w:color="auto"/>
            </w:tcBorders>
            <w:gridSpan w:val="2"/>
          </w:tcPr>
          <w:p>
            <w:pPr>
              <w:jc w:val="center"/>
              <w:ind w:left="289"/>
              <w:spacing w:after="0"/>
              <w:rPr>
                <w:sz w:val="20"/>
                <w:szCs w:val="20"/>
                <w:color w:val="auto"/>
              </w:rPr>
            </w:pPr>
            <w:r>
              <w:rPr>
                <w:rFonts w:ascii="Times New Roman" w:cs="Times New Roman" w:eastAsia="Times New Roman" w:hAnsi="Times New Roman"/>
                <w:sz w:val="14"/>
                <w:szCs w:val="14"/>
                <w:b w:val="1"/>
                <w:bCs w:val="1"/>
                <w:color w:val="auto"/>
              </w:rPr>
              <w:t>Total Offering Amounts</w:t>
            </w:r>
          </w:p>
        </w:tc>
        <w:tc>
          <w:tcPr>
            <w:tcW w:w="1360" w:type="dxa"/>
            <w:vAlign w:val="bottom"/>
            <w:tcBorders>
              <w:bottom w:val="single" w:sz="8" w:color="auto"/>
              <w:right w:val="single" w:sz="8" w:color="auto"/>
            </w:tcBorders>
          </w:tcPr>
          <w:p>
            <w:pPr>
              <w:spacing w:after="0"/>
              <w:rPr>
                <w:sz w:val="14"/>
                <w:szCs w:val="14"/>
                <w:color w:val="auto"/>
              </w:rPr>
            </w:pPr>
          </w:p>
        </w:tc>
        <w:tc>
          <w:tcPr>
            <w:tcW w:w="1260" w:type="dxa"/>
            <w:vAlign w:val="bottom"/>
            <w:tcBorders>
              <w:bottom w:val="single" w:sz="8" w:color="auto"/>
              <w:right w:val="single" w:sz="8" w:color="auto"/>
            </w:tcBorders>
          </w:tcPr>
          <w:p>
            <w:pPr>
              <w:spacing w:after="0"/>
              <w:rPr>
                <w:sz w:val="14"/>
                <w:szCs w:val="14"/>
                <w:color w:val="auto"/>
              </w:rPr>
            </w:pPr>
          </w:p>
        </w:tc>
        <w:tc>
          <w:tcPr>
            <w:tcW w:w="1580" w:type="dxa"/>
            <w:vAlign w:val="bottom"/>
            <w:tcBorders>
              <w:bottom w:val="single" w:sz="8" w:color="auto"/>
              <w:right w:val="single" w:sz="8" w:color="auto"/>
            </w:tcBorders>
          </w:tcPr>
          <w:p>
            <w:pPr>
              <w:spacing w:after="0"/>
              <w:rPr>
                <w:sz w:val="14"/>
                <w:szCs w:val="14"/>
                <w:color w:val="auto"/>
              </w:rPr>
            </w:pPr>
          </w:p>
        </w:tc>
        <w:tc>
          <w:tcPr>
            <w:tcW w:w="2120" w:type="dxa"/>
            <w:vAlign w:val="bottom"/>
            <w:tcBorders>
              <w:bottom w:val="single" w:sz="8" w:color="auto"/>
              <w:right w:val="single" w:sz="8" w:color="auto"/>
            </w:tcBorders>
          </w:tcPr>
          <w:p>
            <w:pPr>
              <w:spacing w:after="0"/>
              <w:rPr>
                <w:sz w:val="14"/>
                <w:szCs w:val="14"/>
                <w:color w:val="auto"/>
              </w:rPr>
            </w:pP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$732.63</w:t>
            </w:r>
          </w:p>
        </w:tc>
      </w:tr>
      <w:tr>
        <w:trPr>
          <w:trHeight w:val="171"/>
        </w:trPr>
        <w:tc>
          <w:tcPr>
            <w:tcW w:w="1000" w:type="dxa"/>
            <w:vAlign w:val="bottom"/>
            <w:tcBorders>
              <w:left w:val="single" w:sz="8" w:color="auto"/>
              <w:bottom w:val="single" w:sz="8" w:color="auto"/>
            </w:tcBorders>
          </w:tcPr>
          <w:p>
            <w:pPr>
              <w:spacing w:after="0"/>
              <w:rPr>
                <w:sz w:val="14"/>
                <w:szCs w:val="14"/>
                <w:color w:val="auto"/>
              </w:rPr>
            </w:pPr>
          </w:p>
        </w:tc>
        <w:tc>
          <w:tcPr>
            <w:tcW w:w="2580" w:type="dxa"/>
            <w:vAlign w:val="bottom"/>
            <w:tcBorders>
              <w:bottom w:val="single" w:sz="8" w:color="auto"/>
            </w:tcBorders>
            <w:gridSpan w:val="2"/>
          </w:tcPr>
          <w:p>
            <w:pPr>
              <w:jc w:val="center"/>
              <w:ind w:left="289"/>
              <w:spacing w:after="0"/>
              <w:rPr>
                <w:sz w:val="20"/>
                <w:szCs w:val="20"/>
                <w:color w:val="auto"/>
              </w:rPr>
            </w:pPr>
            <w:r>
              <w:rPr>
                <w:rFonts w:ascii="Times New Roman" w:cs="Times New Roman" w:eastAsia="Times New Roman" w:hAnsi="Times New Roman"/>
                <w:sz w:val="14"/>
                <w:szCs w:val="14"/>
                <w:b w:val="1"/>
                <w:bCs w:val="1"/>
                <w:color w:val="auto"/>
              </w:rPr>
              <w:t>Total Fee Offsets</w:t>
            </w:r>
          </w:p>
        </w:tc>
        <w:tc>
          <w:tcPr>
            <w:tcW w:w="1360" w:type="dxa"/>
            <w:vAlign w:val="bottom"/>
            <w:tcBorders>
              <w:bottom w:val="single" w:sz="8" w:color="auto"/>
              <w:right w:val="single" w:sz="8" w:color="auto"/>
            </w:tcBorders>
          </w:tcPr>
          <w:p>
            <w:pPr>
              <w:spacing w:after="0"/>
              <w:rPr>
                <w:sz w:val="14"/>
                <w:szCs w:val="14"/>
                <w:color w:val="auto"/>
              </w:rPr>
            </w:pPr>
          </w:p>
        </w:tc>
        <w:tc>
          <w:tcPr>
            <w:tcW w:w="1260" w:type="dxa"/>
            <w:vAlign w:val="bottom"/>
            <w:tcBorders>
              <w:bottom w:val="single" w:sz="8" w:color="auto"/>
              <w:right w:val="single" w:sz="8" w:color="auto"/>
            </w:tcBorders>
          </w:tcPr>
          <w:p>
            <w:pPr>
              <w:spacing w:after="0"/>
              <w:rPr>
                <w:sz w:val="14"/>
                <w:szCs w:val="14"/>
                <w:color w:val="auto"/>
              </w:rPr>
            </w:pPr>
          </w:p>
        </w:tc>
        <w:tc>
          <w:tcPr>
            <w:tcW w:w="1580" w:type="dxa"/>
            <w:vAlign w:val="bottom"/>
            <w:tcBorders>
              <w:bottom w:val="single" w:sz="8" w:color="auto"/>
              <w:right w:val="single" w:sz="8" w:color="auto"/>
            </w:tcBorders>
          </w:tcPr>
          <w:p>
            <w:pPr>
              <w:spacing w:after="0"/>
              <w:rPr>
                <w:sz w:val="14"/>
                <w:szCs w:val="14"/>
                <w:color w:val="auto"/>
              </w:rPr>
            </w:pPr>
          </w:p>
        </w:tc>
        <w:tc>
          <w:tcPr>
            <w:tcW w:w="2120" w:type="dxa"/>
            <w:vAlign w:val="bottom"/>
            <w:tcBorders>
              <w:bottom w:val="single" w:sz="8" w:color="auto"/>
              <w:right w:val="single" w:sz="8" w:color="auto"/>
            </w:tcBorders>
          </w:tcPr>
          <w:p>
            <w:pPr>
              <w:spacing w:after="0"/>
              <w:rPr>
                <w:sz w:val="14"/>
                <w:szCs w:val="14"/>
                <w:color w:val="auto"/>
              </w:rPr>
            </w:pP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r>
      <w:tr>
        <w:trPr>
          <w:trHeight w:val="171"/>
        </w:trPr>
        <w:tc>
          <w:tcPr>
            <w:tcW w:w="1000" w:type="dxa"/>
            <w:vAlign w:val="bottom"/>
            <w:tcBorders>
              <w:left w:val="single" w:sz="8" w:color="auto"/>
              <w:bottom w:val="single" w:sz="8" w:color="auto"/>
            </w:tcBorders>
          </w:tcPr>
          <w:p>
            <w:pPr>
              <w:spacing w:after="0"/>
              <w:rPr>
                <w:sz w:val="14"/>
                <w:szCs w:val="14"/>
                <w:color w:val="auto"/>
              </w:rPr>
            </w:pPr>
          </w:p>
        </w:tc>
        <w:tc>
          <w:tcPr>
            <w:tcW w:w="2580" w:type="dxa"/>
            <w:vAlign w:val="bottom"/>
            <w:tcBorders>
              <w:bottom w:val="single" w:sz="8" w:color="auto"/>
            </w:tcBorders>
            <w:gridSpan w:val="2"/>
          </w:tcPr>
          <w:p>
            <w:pPr>
              <w:jc w:val="center"/>
              <w:ind w:left="289"/>
              <w:spacing w:after="0"/>
              <w:rPr>
                <w:sz w:val="20"/>
                <w:szCs w:val="20"/>
                <w:color w:val="auto"/>
              </w:rPr>
            </w:pPr>
            <w:r>
              <w:rPr>
                <w:rFonts w:ascii="Times New Roman" w:cs="Times New Roman" w:eastAsia="Times New Roman" w:hAnsi="Times New Roman"/>
                <w:sz w:val="14"/>
                <w:szCs w:val="14"/>
                <w:b w:val="1"/>
                <w:bCs w:val="1"/>
                <w:color w:val="auto"/>
              </w:rPr>
              <w:t>Net Fee Due</w:t>
            </w:r>
          </w:p>
        </w:tc>
        <w:tc>
          <w:tcPr>
            <w:tcW w:w="1360" w:type="dxa"/>
            <w:vAlign w:val="bottom"/>
            <w:tcBorders>
              <w:bottom w:val="single" w:sz="8" w:color="auto"/>
              <w:right w:val="single" w:sz="8" w:color="auto"/>
            </w:tcBorders>
          </w:tcPr>
          <w:p>
            <w:pPr>
              <w:spacing w:after="0"/>
              <w:rPr>
                <w:sz w:val="14"/>
                <w:szCs w:val="14"/>
                <w:color w:val="auto"/>
              </w:rPr>
            </w:pPr>
          </w:p>
        </w:tc>
        <w:tc>
          <w:tcPr>
            <w:tcW w:w="1260" w:type="dxa"/>
            <w:vAlign w:val="bottom"/>
            <w:tcBorders>
              <w:bottom w:val="single" w:sz="8" w:color="auto"/>
              <w:right w:val="single" w:sz="8" w:color="auto"/>
            </w:tcBorders>
          </w:tcPr>
          <w:p>
            <w:pPr>
              <w:spacing w:after="0"/>
              <w:rPr>
                <w:sz w:val="14"/>
                <w:szCs w:val="14"/>
                <w:color w:val="auto"/>
              </w:rPr>
            </w:pPr>
          </w:p>
        </w:tc>
        <w:tc>
          <w:tcPr>
            <w:tcW w:w="1580" w:type="dxa"/>
            <w:vAlign w:val="bottom"/>
            <w:tcBorders>
              <w:bottom w:val="single" w:sz="8" w:color="auto"/>
              <w:right w:val="single" w:sz="8" w:color="auto"/>
            </w:tcBorders>
          </w:tcPr>
          <w:p>
            <w:pPr>
              <w:spacing w:after="0"/>
              <w:rPr>
                <w:sz w:val="14"/>
                <w:szCs w:val="14"/>
                <w:color w:val="auto"/>
              </w:rPr>
            </w:pPr>
          </w:p>
        </w:tc>
        <w:tc>
          <w:tcPr>
            <w:tcW w:w="2120" w:type="dxa"/>
            <w:vAlign w:val="bottom"/>
            <w:tcBorders>
              <w:bottom w:val="single" w:sz="8" w:color="auto"/>
              <w:right w:val="single" w:sz="8" w:color="auto"/>
            </w:tcBorders>
          </w:tcPr>
          <w:p>
            <w:pPr>
              <w:spacing w:after="0"/>
              <w:rPr>
                <w:sz w:val="14"/>
                <w:szCs w:val="14"/>
                <w:color w:val="auto"/>
              </w:rPr>
            </w:pP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$732.63</w:t>
            </w:r>
          </w:p>
        </w:tc>
      </w:tr>
    </w:tbl>
    <w:p>
      <w:pPr>
        <w:spacing w:after="0" w:line="227" w:lineRule="exact"/>
        <w:rPr>
          <w:sz w:val="20"/>
          <w:szCs w:val="20"/>
          <w:color w:val="auto"/>
        </w:rPr>
      </w:pPr>
    </w:p>
    <w:p>
      <w:pPr>
        <w:ind w:right="120" w:firstLine="5"/>
        <w:spacing w:after="0" w:line="290" w:lineRule="auto"/>
        <w:tabs>
          <w:tab w:leader="none" w:pos="2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Rule 416 under the Securities Act of 1933 (the “</w:t>
      </w:r>
      <w:r>
        <w:rPr>
          <w:rFonts w:ascii="Times New Roman" w:cs="Times New Roman" w:eastAsia="Times New Roman" w:hAnsi="Times New Roman"/>
          <w:sz w:val="14"/>
          <w:szCs w:val="14"/>
          <w:b w:val="1"/>
          <w:bCs w:val="1"/>
          <w:i w:val="1"/>
          <w:iCs w:val="1"/>
          <w:color w:val="auto"/>
        </w:rPr>
        <w:t>Securities Act</w:t>
      </w:r>
      <w:r>
        <w:rPr>
          <w:rFonts w:ascii="Times New Roman" w:cs="Times New Roman" w:eastAsia="Times New Roman" w:hAnsi="Times New Roman"/>
          <w:sz w:val="14"/>
          <w:szCs w:val="14"/>
          <w:color w:val="auto"/>
        </w:rPr>
        <w:t>”), this Registration Statement shall also include any additional shares of Class A common stock, par value $0.0001 per share (the “</w:t>
      </w:r>
      <w:r>
        <w:rPr>
          <w:rFonts w:ascii="Times New Roman" w:cs="Times New Roman" w:eastAsia="Times New Roman" w:hAnsi="Times New Roman"/>
          <w:sz w:val="14"/>
          <w:szCs w:val="14"/>
          <w:b w:val="1"/>
          <w:bCs w:val="1"/>
          <w:i w:val="1"/>
          <w:iCs w:val="1"/>
          <w:color w:val="auto"/>
        </w:rPr>
        <w:t>Class A Common Stock</w:t>
      </w:r>
      <w:r>
        <w:rPr>
          <w:rFonts w:ascii="Times New Roman" w:cs="Times New Roman" w:eastAsia="Times New Roman" w:hAnsi="Times New Roman"/>
          <w:sz w:val="14"/>
          <w:szCs w:val="14"/>
          <w:color w:val="auto"/>
        </w:rPr>
        <w:t>”), of Cibus, Inc. (the “</w:t>
      </w:r>
      <w:r>
        <w:rPr>
          <w:rFonts w:ascii="Times New Roman" w:cs="Times New Roman" w:eastAsia="Times New Roman" w:hAnsi="Times New Roman"/>
          <w:sz w:val="14"/>
          <w:szCs w:val="14"/>
          <w:b w:val="1"/>
          <w:bCs w:val="1"/>
          <w:i w:val="1"/>
          <w:iCs w:val="1"/>
          <w:color w:val="auto"/>
        </w:rPr>
        <w:t>Registrant</w:t>
      </w:r>
      <w:r>
        <w:rPr>
          <w:rFonts w:ascii="Times New Roman" w:cs="Times New Roman" w:eastAsia="Times New Roman" w:hAnsi="Times New Roman"/>
          <w:sz w:val="14"/>
          <w:szCs w:val="14"/>
          <w:color w:val="auto"/>
        </w:rPr>
        <w:t>”) that may become issuable by reason of stock dividends, stock splits, recapitalization or similar transactions.</w:t>
      </w:r>
    </w:p>
    <w:p>
      <w:pPr>
        <w:spacing w:after="0" w:line="122" w:lineRule="exact"/>
        <w:rPr>
          <w:rFonts w:ascii="Times New Roman" w:cs="Times New Roman" w:eastAsia="Times New Roman" w:hAnsi="Times New Roman"/>
          <w:sz w:val="14"/>
          <w:szCs w:val="14"/>
          <w:color w:val="auto"/>
        </w:rPr>
      </w:pPr>
    </w:p>
    <w:p>
      <w:pPr>
        <w:ind w:right="80" w:firstLine="5"/>
        <w:spacing w:after="0" w:line="264" w:lineRule="auto"/>
        <w:tabs>
          <w:tab w:leader="none" w:pos="2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additional shares of Class A Common Stock available pursuant to increases to the number of shares available for issuance under the Cibus, Inc. 2017 Omnibus Incentive Plan, as amended (the “</w:t>
      </w:r>
      <w:r>
        <w:rPr>
          <w:rFonts w:ascii="Times New Roman" w:cs="Times New Roman" w:eastAsia="Times New Roman" w:hAnsi="Times New Roman"/>
          <w:sz w:val="14"/>
          <w:szCs w:val="14"/>
          <w:b w:val="1"/>
          <w:bCs w:val="1"/>
          <w:i w:val="1"/>
          <w:iCs w:val="1"/>
          <w:color w:val="auto"/>
        </w:rPr>
        <w:t>Plan</w:t>
      </w:r>
      <w:r>
        <w:rPr>
          <w:rFonts w:ascii="Times New Roman" w:cs="Times New Roman" w:eastAsia="Times New Roman" w:hAnsi="Times New Roman"/>
          <w:sz w:val="14"/>
          <w:szCs w:val="14"/>
          <w:color w:val="auto"/>
        </w:rPr>
        <w:t>”) under the evergreen provision of the Plan. Shares available for issuance under the Plan have been previously registered on Registration Statements on Form S-8 filed with the Securities and Exchange Commission on July 20, 2017 (File No. 333-219382), May 9, 2019 (File No. 333-231336), July 16, 2021 (File No. 333-257972), March 2, 2023 (File No. 333-270245), May 24, 2023 (File No. 333-272177), June 30, 2023 (File No. 333-273069) and March 24, 2025 (File No. 333-286065).</w:t>
      </w:r>
    </w:p>
    <w:p>
      <w:pPr>
        <w:spacing w:after="0" w:line="140" w:lineRule="exact"/>
        <w:rPr>
          <w:rFonts w:ascii="Times New Roman" w:cs="Times New Roman" w:eastAsia="Times New Roman" w:hAnsi="Times New Roman"/>
          <w:sz w:val="14"/>
          <w:szCs w:val="14"/>
          <w:color w:val="auto"/>
        </w:rPr>
      </w:pPr>
    </w:p>
    <w:p>
      <w:pPr>
        <w:ind w:right="200" w:firstLine="5"/>
        <w:spacing w:after="0" w:line="287" w:lineRule="auto"/>
        <w:tabs>
          <w:tab w:leader="none" w:pos="2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Estimated solely for the purpose of calculating the amount of the registration fee pursuant to Rule 457(c) and (h) under the Securities Act, based on the average of the high and low prices of the Class A Common Stock as reported by the Nasdaq Stock Market LLC on June 15, 2026.</w:t>
      </w:r>
    </w:p>
    <w:p>
      <w:pPr>
        <w:sectPr>
          <w:pgSz w:w="11900" w:h="16838" w:orient="portrait"/>
          <w:cols w:equalWidth="0" w:num="1">
            <w:col w:w="11300"/>
          </w:cols>
          <w:pgMar w:left="300" w:top="1141" w:right="299" w:bottom="1440" w:gutter="0" w:footer="0" w:header="0"/>
        </w:sectPr>
      </w:pPr>
    </w:p>
    <w:bookmarkStart w:id="6" w:name="page7"/>
    <w:bookmarkEnd w:id="6"/>
    <w:p>
      <w:pPr>
        <w:spacing w:after="0" w:line="287" w:lineRule="auto"/>
        <w:tabs>
          <w:tab w:leader="none" w:pos="2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87" w:lineRule="auto"/>
        <w:tabs>
          <w:tab w:leader="none" w:pos="200" w:val="left"/>
        </w:tabs>
        <w:rPr>
          <w:sz w:val="20"/>
          <w:szCs w:val="20"/>
          <w:color w:val="auto"/>
        </w:rPr>
      </w:pPr>
    </w:p>
    <w:p>
      <w:pPr>
        <w:sectPr>
          <w:pgSz w:w="11900" w:h="16838" w:orient="portrait"/>
          <w:cols w:equalWidth="1" w:num="1" w:space="0"/>
          <w:pgMar w:left="1440" w:top="1440" w:right="1440" w:bottom="875" w:gutter="0" w:footer="0" w:header="0"/>
        </w:sectPr>
      </w:pPr>
    </w:p>
    <w:bookmarkStart w:id="8" w:name="page9"/>
    <w:bookmarkEnd w:id="8"/>
    <w:p>
      <w:pPr>
        <w:spacing w:after="0" w:line="287" w:lineRule="auto"/>
        <w:tabs>
          <w:tab w:leader="none" w:pos="2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275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21" Type="http://schemas.openxmlformats.org/officeDocument/2006/relationships/image" Target="media/image6.png"/><Relationship Id="rId22" Type="http://schemas.openxmlformats.org/officeDocument/2006/relationships/image" Target="media/image7.png"/><Relationship Id="rId13" Type="http://schemas.openxmlformats.org/officeDocument/2006/relationships/hyperlink" Target="https://www.sec.gov/ix?doc=/Archives/edgar/data/1705843/000162828026018815/cbus-20251231.htm" TargetMode="External"/><Relationship Id="rId14" Type="http://schemas.openxmlformats.org/officeDocument/2006/relationships/hyperlink" Target="https://www.sec.gov/ix?doc=/Archives/edgar/data/0001705843/000162828026035159/cbus-20260331.htm" TargetMode="External"/><Relationship Id="rId15" Type="http://schemas.openxmlformats.org/officeDocument/2006/relationships/hyperlink" Target="https://www.sec.gov/ix?doc=/Archives/edgar/data/1705843/000119312526030591/d54299d8k.htm" TargetMode="External"/><Relationship Id="rId16" Type="http://schemas.openxmlformats.org/officeDocument/2006/relationships/hyperlink" Target="https://www.sec.gov/ix?doc=/Archives/edgar/data/1705843/000119312526127706/d73414d8k.htm" TargetMode="External"/><Relationship Id="rId17" Type="http://schemas.openxmlformats.org/officeDocument/2006/relationships/hyperlink" Target="https://www.sec.gov/ix?doc=/Archives/edgar/data/1705843/000162828026024746/cbus-20260407.htm" TargetMode="External"/><Relationship Id="rId18" Type="http://schemas.openxmlformats.org/officeDocument/2006/relationships/hyperlink" Target="https://www.sec.gov/ix?doc=/Archives/edgar/data/1705843/000162828026041069/cbus-20260602.htm" TargetMode="External"/><Relationship Id="rId19" Type="http://schemas.openxmlformats.org/officeDocument/2006/relationships/hyperlink" Target="https://www.sec.gov/ix?doc=/Archives/edgar/data/1705843/000162828026041775/cbus-20260608.htm" TargetMode="External"/><Relationship Id="rId20" Type="http://schemas.openxmlformats.org/officeDocument/2006/relationships/hyperlink" Target="https://www.sec.gov/Archives/edgar/data/1705843/000119312517231512/d433769d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2026-06-23T16:52:38Z</dcterms:created>
  <dcterms:modified xsi:type="dcterms:W3CDTF">2026-06-23T16:52:38Z</dcterms:modified>
</cp:coreProperties>
</file>