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Urban Thomas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6455 NANCY RIDGE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Cibus,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CBUS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DEIGO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64,748</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64,748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full, subject to the Director's continued service, the earlier of (1) the first anniversary of the grant date and (2) the date of the Company's next annual meeting of shareholders.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Jason Stokes, Attorney-in-Fact </w:t>
      </w:r>
      <w:r>
        <w:rPr>
          <w:rFonts w:ascii="Times New Roman" w:cs="Times New Roman" w:eastAsia="Times New Roman" w:hAnsi="Times New Roman"/>
          <w:sz w:val="33"/>
          <w:szCs w:val="33"/>
          <w:color w:val="0000FF"/>
          <w:vertAlign w:val="subscript"/>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95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95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Thomas Urban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8121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1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130614" TargetMode="External"/><Relationship Id="rId14" Type="http://schemas.openxmlformats.org/officeDocument/2006/relationships/hyperlink" Target="http://www.sec.gov/cgi-bin/browse-edgar?action=getcompany&amp;CIK=000170584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2026-06-04T14:56:08Z</dcterms:created>
  <dcterms:modified xsi:type="dcterms:W3CDTF">2026-06-04T14:56:08Z</dcterms:modified>
</cp:coreProperties>
</file>