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23, 2026</w:t>
      </w: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97155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117475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153670</wp:posOffset>
            </wp:positionV>
            <wp:extent cx="24523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FORM S-8</w:t>
      </w:r>
    </w:p>
    <w:p>
      <w:pPr>
        <w:spacing w:after="0" w:line="3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167640</wp:posOffset>
            </wp:positionV>
            <wp:extent cx="24523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Cibus, Inc.</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157480</wp:posOffset>
            </wp:positionV>
            <wp:extent cx="24523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2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5840" w:type="dxa"/>
            <w:vAlign w:val="bottom"/>
            <w:gridSpan w:val="2"/>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27-1967997</w:t>
            </w:r>
          </w:p>
        </w:tc>
      </w:tr>
      <w:tr>
        <w:trPr>
          <w:trHeight w:val="147"/>
        </w:trPr>
        <w:tc>
          <w:tcPr>
            <w:tcW w:w="280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3580" w:type="dxa"/>
            <w:vAlign w:val="bottom"/>
          </w:tcPr>
          <w:p>
            <w:pPr>
              <w:spacing w:after="0"/>
              <w:rPr>
                <w:sz w:val="12"/>
                <w:szCs w:val="12"/>
                <w:color w:val="auto"/>
              </w:rPr>
            </w:pPr>
          </w:p>
        </w:tc>
        <w:tc>
          <w:tcPr>
            <w:tcW w:w="2260" w:type="dxa"/>
            <w:vAlign w:val="bottom"/>
          </w:tcPr>
          <w:p>
            <w:pPr>
              <w:jc w:val="center"/>
              <w:ind w:left="563"/>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59"/>
        </w:trPr>
        <w:tc>
          <w:tcPr>
            <w:tcW w:w="2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6455 Nancy Ridge Drive</w:t>
            </w:r>
          </w:p>
        </w:tc>
        <w:tc>
          <w:tcPr>
            <w:tcW w:w="5840" w:type="dxa"/>
            <w:vAlign w:val="bottom"/>
            <w:gridSpan w:val="2"/>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92121</w:t>
            </w:r>
          </w:p>
        </w:tc>
      </w:tr>
      <w:tr>
        <w:trPr>
          <w:trHeight w:val="149"/>
        </w:trPr>
        <w:tc>
          <w:tcPr>
            <w:tcW w:w="2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San Diego, CA</w:t>
            </w:r>
          </w:p>
        </w:tc>
        <w:tc>
          <w:tcPr>
            <w:tcW w:w="358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50"/>
        </w:trPr>
        <w:tc>
          <w:tcPr>
            <w:tcW w:w="280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3580" w:type="dxa"/>
            <w:vAlign w:val="bottom"/>
          </w:tcPr>
          <w:p>
            <w:pPr>
              <w:spacing w:after="0"/>
              <w:rPr>
                <w:sz w:val="13"/>
                <w:szCs w:val="13"/>
                <w:color w:val="auto"/>
              </w:rPr>
            </w:pPr>
          </w:p>
        </w:tc>
        <w:tc>
          <w:tcPr>
            <w:tcW w:w="2260" w:type="dxa"/>
            <w:vAlign w:val="bottom"/>
          </w:tcPr>
          <w:p>
            <w:pPr>
              <w:jc w:val="center"/>
              <w:ind w:left="543"/>
              <w:spacing w:after="0"/>
              <w:rPr>
                <w:sz w:val="20"/>
                <w:szCs w:val="20"/>
                <w:color w:val="auto"/>
              </w:rPr>
            </w:pPr>
            <w:r>
              <w:rPr>
                <w:rFonts w:ascii="Times New Roman" w:cs="Times New Roman" w:eastAsia="Times New Roman" w:hAnsi="Times New Roman"/>
                <w:sz w:val="11"/>
                <w:szCs w:val="11"/>
                <w:color w:val="auto"/>
              </w:rPr>
              <w:t>(Zip Code)</w:t>
            </w:r>
          </w:p>
        </w:tc>
      </w:tr>
      <w:tr>
        <w:trPr>
          <w:trHeight w:val="362"/>
        </w:trPr>
        <w:tc>
          <w:tcPr>
            <w:tcW w:w="2800" w:type="dxa"/>
            <w:vAlign w:val="bottom"/>
          </w:tcPr>
          <w:p>
            <w:pPr>
              <w:spacing w:after="0"/>
              <w:rPr>
                <w:sz w:val="24"/>
                <w:szCs w:val="24"/>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CIBUS, INC. 2025 EMPLOYEE STOCK PURCHASE PLAN</w:t>
            </w:r>
          </w:p>
        </w:tc>
      </w:tr>
      <w:tr>
        <w:trPr>
          <w:trHeight w:val="147"/>
        </w:trPr>
        <w:tc>
          <w:tcPr>
            <w:tcW w:w="2800" w:type="dxa"/>
            <w:vAlign w:val="bottom"/>
          </w:tcPr>
          <w:p>
            <w:pPr>
              <w:spacing w:after="0"/>
              <w:rPr>
                <w:sz w:val="12"/>
                <w:szCs w:val="12"/>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color w:val="auto"/>
              </w:rPr>
              <w:t>(Full title of the plan)</w:t>
            </w:r>
          </w:p>
        </w:tc>
      </w:tr>
      <w:tr>
        <w:trPr>
          <w:trHeight w:val="382"/>
        </w:trPr>
        <w:tc>
          <w:tcPr>
            <w:tcW w:w="2800" w:type="dxa"/>
            <w:vAlign w:val="bottom"/>
          </w:tcPr>
          <w:p>
            <w:pPr>
              <w:spacing w:after="0"/>
              <w:rPr>
                <w:sz w:val="24"/>
                <w:szCs w:val="24"/>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Jason Stokes</w:t>
            </w:r>
          </w:p>
        </w:tc>
      </w:tr>
      <w:tr>
        <w:trPr>
          <w:trHeight w:val="138"/>
        </w:trPr>
        <w:tc>
          <w:tcPr>
            <w:tcW w:w="2800" w:type="dxa"/>
            <w:vAlign w:val="bottom"/>
          </w:tcPr>
          <w:p>
            <w:pPr>
              <w:spacing w:after="0"/>
              <w:rPr>
                <w:sz w:val="11"/>
                <w:szCs w:val="11"/>
                <w:color w:val="auto"/>
              </w:rPr>
            </w:pPr>
          </w:p>
        </w:tc>
        <w:tc>
          <w:tcPr>
            <w:tcW w:w="5840" w:type="dxa"/>
            <w:vAlign w:val="bottom"/>
            <w:gridSpan w:val="2"/>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Chief Administrative Officer</w:t>
            </w:r>
          </w:p>
        </w:tc>
      </w:tr>
      <w:tr>
        <w:trPr>
          <w:trHeight w:val="138"/>
        </w:trPr>
        <w:tc>
          <w:tcPr>
            <w:tcW w:w="2800" w:type="dxa"/>
            <w:vAlign w:val="bottom"/>
          </w:tcPr>
          <w:p>
            <w:pPr>
              <w:spacing w:after="0"/>
              <w:rPr>
                <w:sz w:val="11"/>
                <w:szCs w:val="11"/>
                <w:color w:val="auto"/>
              </w:rPr>
            </w:pPr>
          </w:p>
        </w:tc>
        <w:tc>
          <w:tcPr>
            <w:tcW w:w="5840" w:type="dxa"/>
            <w:vAlign w:val="bottom"/>
            <w:gridSpan w:val="2"/>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6455 Nancy Ridge Drive</w:t>
            </w:r>
          </w:p>
        </w:tc>
      </w:tr>
      <w:tr>
        <w:trPr>
          <w:trHeight w:val="140"/>
        </w:trPr>
        <w:tc>
          <w:tcPr>
            <w:tcW w:w="2800" w:type="dxa"/>
            <w:vAlign w:val="bottom"/>
          </w:tcPr>
          <w:p>
            <w:pPr>
              <w:spacing w:after="0"/>
              <w:rPr>
                <w:sz w:val="12"/>
                <w:szCs w:val="12"/>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San Diego, CA 92121</w:t>
            </w:r>
          </w:p>
        </w:tc>
      </w:tr>
      <w:tr>
        <w:trPr>
          <w:trHeight w:val="147"/>
        </w:trPr>
        <w:tc>
          <w:tcPr>
            <w:tcW w:w="2800" w:type="dxa"/>
            <w:vAlign w:val="bottom"/>
          </w:tcPr>
          <w:p>
            <w:pPr>
              <w:spacing w:after="0"/>
              <w:rPr>
                <w:sz w:val="12"/>
                <w:szCs w:val="12"/>
                <w:color w:val="auto"/>
              </w:rPr>
            </w:pPr>
          </w:p>
        </w:tc>
        <w:tc>
          <w:tcPr>
            <w:tcW w:w="5840" w:type="dxa"/>
            <w:vAlign w:val="bottom"/>
            <w:gridSpan w:val="2"/>
          </w:tcPr>
          <w:p>
            <w:pPr>
              <w:jc w:val="center"/>
              <w:ind w:right="2223"/>
              <w:spacing w:after="0"/>
              <w:rPr>
                <w:sz w:val="20"/>
                <w:szCs w:val="20"/>
                <w:color w:val="auto"/>
              </w:rPr>
            </w:pPr>
            <w:r>
              <w:rPr>
                <w:rFonts w:ascii="Times New Roman" w:cs="Times New Roman" w:eastAsia="Times New Roman" w:hAnsi="Times New Roman"/>
                <w:sz w:val="11"/>
                <w:szCs w:val="11"/>
                <w:color w:val="auto"/>
              </w:rPr>
              <w:t>(Name and address of agent for service)</w:t>
            </w:r>
          </w:p>
        </w:tc>
      </w:tr>
      <w:tr>
        <w:trPr>
          <w:trHeight w:val="373"/>
        </w:trPr>
        <w:tc>
          <w:tcPr>
            <w:tcW w:w="28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(858) 450-0008</w:t>
            </w:r>
          </w:p>
        </w:tc>
        <w:tc>
          <w:tcPr>
            <w:tcW w:w="2260" w:type="dxa"/>
            <w:vAlign w:val="bottom"/>
          </w:tcPr>
          <w:p>
            <w:pPr>
              <w:spacing w:after="0"/>
              <w:rPr>
                <w:sz w:val="24"/>
                <w:szCs w:val="24"/>
                <w:color w:val="auto"/>
              </w:rPr>
            </w:pPr>
          </w:p>
        </w:tc>
      </w:tr>
      <w:tr>
        <w:trPr>
          <w:trHeight w:val="147"/>
        </w:trPr>
        <w:tc>
          <w:tcPr>
            <w:tcW w:w="2800" w:type="dxa"/>
            <w:vAlign w:val="bottom"/>
          </w:tcPr>
          <w:p>
            <w:pPr>
              <w:spacing w:after="0"/>
              <w:rPr>
                <w:sz w:val="12"/>
                <w:szCs w:val="12"/>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color w:val="auto"/>
              </w:rPr>
              <w:t>(Telephone number, including area code, of agent for service)</w:t>
            </w:r>
          </w:p>
        </w:tc>
      </w:tr>
      <w:tr>
        <w:trPr>
          <w:trHeight w:val="393"/>
        </w:trPr>
        <w:tc>
          <w:tcPr>
            <w:tcW w:w="2800" w:type="dxa"/>
            <w:vAlign w:val="bottom"/>
          </w:tcPr>
          <w:p>
            <w:pPr>
              <w:spacing w:after="0"/>
              <w:rPr>
                <w:sz w:val="24"/>
                <w:szCs w:val="24"/>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360"/>
        </w:trPr>
        <w:tc>
          <w:tcPr>
            <w:tcW w:w="2800" w:type="dxa"/>
            <w:vAlign w:val="bottom"/>
          </w:tcPr>
          <w:p>
            <w:pPr>
              <w:spacing w:after="0"/>
              <w:rPr>
                <w:sz w:val="24"/>
                <w:szCs w:val="24"/>
                <w:color w:val="auto"/>
              </w:rPr>
            </w:pPr>
          </w:p>
        </w:tc>
        <w:tc>
          <w:tcPr>
            <w:tcW w:w="5840" w:type="dxa"/>
            <w:vAlign w:val="bottom"/>
            <w:gridSpan w:val="2"/>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Peter E. Devlin</w:t>
            </w:r>
          </w:p>
        </w:tc>
      </w:tr>
      <w:tr>
        <w:trPr>
          <w:trHeight w:val="138"/>
        </w:trPr>
        <w:tc>
          <w:tcPr>
            <w:tcW w:w="2800" w:type="dxa"/>
            <w:vAlign w:val="bottom"/>
          </w:tcPr>
          <w:p>
            <w:pPr>
              <w:spacing w:after="0"/>
              <w:rPr>
                <w:sz w:val="11"/>
                <w:szCs w:val="11"/>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Erik B. Lundgren</w:t>
            </w:r>
          </w:p>
        </w:tc>
      </w:tr>
      <w:tr>
        <w:trPr>
          <w:trHeight w:val="138"/>
        </w:trPr>
        <w:tc>
          <w:tcPr>
            <w:tcW w:w="2800" w:type="dxa"/>
            <w:vAlign w:val="bottom"/>
          </w:tcPr>
          <w:p>
            <w:pPr>
              <w:spacing w:after="0"/>
              <w:rPr>
                <w:sz w:val="11"/>
                <w:szCs w:val="11"/>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Jones Day</w:t>
            </w:r>
          </w:p>
        </w:tc>
      </w:tr>
      <w:tr>
        <w:trPr>
          <w:trHeight w:val="138"/>
        </w:trPr>
        <w:tc>
          <w:tcPr>
            <w:tcW w:w="2800" w:type="dxa"/>
            <w:vAlign w:val="bottom"/>
          </w:tcPr>
          <w:p>
            <w:pPr>
              <w:spacing w:after="0"/>
              <w:rPr>
                <w:sz w:val="11"/>
                <w:szCs w:val="11"/>
                <w:color w:val="auto"/>
              </w:rPr>
            </w:pPr>
          </w:p>
        </w:tc>
        <w:tc>
          <w:tcPr>
            <w:tcW w:w="5840" w:type="dxa"/>
            <w:vAlign w:val="bottom"/>
            <w:gridSpan w:val="2"/>
          </w:tcPr>
          <w:p>
            <w:pPr>
              <w:jc w:val="center"/>
              <w:ind w:right="2203"/>
              <w:spacing w:after="0"/>
              <w:rPr>
                <w:sz w:val="20"/>
                <w:szCs w:val="20"/>
                <w:color w:val="auto"/>
              </w:rPr>
            </w:pPr>
            <w:r>
              <w:rPr>
                <w:rFonts w:ascii="Times New Roman" w:cs="Times New Roman" w:eastAsia="Times New Roman" w:hAnsi="Times New Roman"/>
                <w:sz w:val="11"/>
                <w:szCs w:val="11"/>
                <w:b w:val="1"/>
                <w:bCs w:val="1"/>
                <w:color w:val="auto"/>
              </w:rPr>
              <w:t>250 Vesey Street</w:t>
            </w:r>
          </w:p>
        </w:tc>
      </w:tr>
      <w:tr>
        <w:trPr>
          <w:trHeight w:val="138"/>
        </w:trPr>
        <w:tc>
          <w:tcPr>
            <w:tcW w:w="2800" w:type="dxa"/>
            <w:vAlign w:val="bottom"/>
          </w:tcPr>
          <w:p>
            <w:pPr>
              <w:spacing w:after="0"/>
              <w:rPr>
                <w:sz w:val="11"/>
                <w:szCs w:val="11"/>
                <w:color w:val="auto"/>
              </w:rPr>
            </w:pPr>
          </w:p>
        </w:tc>
        <w:tc>
          <w:tcPr>
            <w:tcW w:w="5840" w:type="dxa"/>
            <w:vAlign w:val="bottom"/>
            <w:gridSpan w:val="2"/>
          </w:tcPr>
          <w:p>
            <w:pPr>
              <w:jc w:val="center"/>
              <w:ind w:right="2223"/>
              <w:spacing w:after="0"/>
              <w:rPr>
                <w:sz w:val="20"/>
                <w:szCs w:val="20"/>
                <w:color w:val="auto"/>
              </w:rPr>
            </w:pPr>
            <w:r>
              <w:rPr>
                <w:rFonts w:ascii="Times New Roman" w:cs="Times New Roman" w:eastAsia="Times New Roman" w:hAnsi="Times New Roman"/>
                <w:sz w:val="11"/>
                <w:szCs w:val="11"/>
                <w:b w:val="1"/>
                <w:bCs w:val="1"/>
                <w:color w:val="auto"/>
              </w:rPr>
              <w:t>New York, NY 10281</w:t>
            </w:r>
          </w:p>
        </w:tc>
      </w:tr>
      <w:tr>
        <w:trPr>
          <w:trHeight w:val="149"/>
        </w:trPr>
        <w:tc>
          <w:tcPr>
            <w:tcW w:w="2800" w:type="dxa"/>
            <w:vAlign w:val="bottom"/>
          </w:tcPr>
          <w:p>
            <w:pPr>
              <w:spacing w:after="0"/>
              <w:rPr>
                <w:sz w:val="12"/>
                <w:szCs w:val="1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(212) 326-3939</w:t>
            </w:r>
          </w:p>
        </w:tc>
        <w:tc>
          <w:tcPr>
            <w:tcW w:w="2260" w:type="dxa"/>
            <w:vAlign w:val="bottom"/>
          </w:tcPr>
          <w:p>
            <w:pPr>
              <w:spacing w:after="0"/>
              <w:rPr>
                <w:sz w:val="12"/>
                <w:szCs w:val="12"/>
                <w:color w:val="auto"/>
              </w:rPr>
            </w:pPr>
          </w:p>
        </w:tc>
      </w:tr>
      <w:tr>
        <w:trPr>
          <w:trHeight w:val="348"/>
        </w:trPr>
        <w:tc>
          <w:tcPr>
            <w:tcW w:w="280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0020"/>
          </w:cols>
          <w:pgMar w:left="1360" w:top="1046" w:right="519" w:bottom="1440" w:gutter="0" w:footer="0" w:header="0"/>
        </w:sectPr>
      </w:pPr>
    </w:p>
    <w:bookmarkStart w:id="1" w:name="page2"/>
    <w:bookmarkEnd w:id="1"/>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9"/>
        </w:trPr>
        <w:tc>
          <w:tcPr>
            <w:tcW w:w="2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8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REQUIRED IN THE SECTION 10(a) PROSPECTUS</w:t>
      </w:r>
    </w:p>
    <w:p>
      <w:pPr>
        <w:spacing w:after="0" w:line="191" w:lineRule="exact"/>
        <w:rPr>
          <w:sz w:val="20"/>
          <w:szCs w:val="20"/>
          <w:color w:val="auto"/>
        </w:rPr>
      </w:pPr>
    </w:p>
    <w:p>
      <w:pPr>
        <w:ind w:right="40" w:firstLine="347"/>
        <w:spacing w:after="0" w:line="246" w:lineRule="auto"/>
        <w:rPr>
          <w:sz w:val="20"/>
          <w:szCs w:val="20"/>
          <w:color w:val="auto"/>
        </w:rPr>
      </w:pPr>
      <w:r>
        <w:rPr>
          <w:rFonts w:ascii="Times New Roman" w:cs="Times New Roman" w:eastAsia="Times New Roman" w:hAnsi="Times New Roman"/>
          <w:sz w:val="14"/>
          <w:szCs w:val="14"/>
          <w:color w:val="auto"/>
        </w:rPr>
        <w:t>The information specified in Part I of Form S-8 to be contained in the Section 10(a) prospectus is omitted from this Registration Statement in accordance with Rule 428 under the Securities Act of 1933 (the “Securities Act”), and the Introductory Note to Part I of Form S-8. The documents containing the information specified in Part I of Form S-8 will be delivered to participants in the applicable Plans covered by this Registration Statement as specified by Rule 428(b)(1) under the Securities 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REQUIRED IN THE REGISTRATION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Incorporation of Documents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filed by Cibus, Inc. (the “Registrant”) with the Securities and Exchange Commission (the “Commission”) are incorporated by reference into this Registration Statement:</w:t>
      </w:r>
    </w:p>
    <w:p>
      <w:pPr>
        <w:spacing w:after="0" w:line="147" w:lineRule="exact"/>
        <w:rPr>
          <w:sz w:val="20"/>
          <w:szCs w:val="20"/>
          <w:color w:val="auto"/>
        </w:rPr>
      </w:pPr>
    </w:p>
    <w:p>
      <w:pPr>
        <w:ind w:left="520" w:hanging="260"/>
        <w:spacing w:after="0" w:line="239"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Annual Report on </w:t>
      </w:r>
      <w:hyperlink r:id="rId15">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(including the information in Part III incorporated therein by reference from the Registrant’s Definitive Proxy Statement on Schedule 14A for the year ended December 31, 2025);</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Quarterly Report on Form 10-Q for the quarter ended </w:t>
      </w:r>
      <w:hyperlink r:id="rId16">
        <w:r>
          <w:rPr>
            <w:rFonts w:ascii="Times New Roman" w:cs="Times New Roman" w:eastAsia="Times New Roman" w:hAnsi="Times New Roman"/>
            <w:sz w:val="14"/>
            <w:szCs w:val="14"/>
            <w:u w:val="single" w:color="auto"/>
            <w:color w:val="0000FF"/>
          </w:rPr>
          <w:t>March 31, 2026</w:t>
        </w:r>
      </w:hyperlink>
      <w:r>
        <w:rPr>
          <w:rFonts w:ascii="Times New Roman" w:cs="Times New Roman" w:eastAsia="Times New Roman" w:hAnsi="Times New Roman"/>
          <w:sz w:val="14"/>
          <w:szCs w:val="14"/>
          <w:color w:val="auto"/>
        </w:rPr>
        <w:t>;</w:t>
      </w:r>
    </w:p>
    <w:p>
      <w:pPr>
        <w:spacing w:after="0" w:line="114"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Current Reports on Form 8-K filed on </w:t>
      </w:r>
      <w:hyperlink r:id="rId17">
        <w:r>
          <w:rPr>
            <w:rFonts w:ascii="Times New Roman" w:cs="Times New Roman" w:eastAsia="Times New Roman" w:hAnsi="Times New Roman"/>
            <w:sz w:val="14"/>
            <w:szCs w:val="14"/>
            <w:u w:val="single" w:color="auto"/>
            <w:color w:val="0000FF"/>
          </w:rPr>
          <w:t>January 30, 2026</w:t>
        </w:r>
      </w:hyperlink>
      <w:r>
        <w:rPr>
          <w:rFonts w:ascii="Times New Roman" w:cs="Times New Roman" w:eastAsia="Times New Roman" w:hAnsi="Times New Roman"/>
          <w:sz w:val="14"/>
          <w:szCs w:val="14"/>
          <w:color w:val="auto"/>
        </w:rPr>
        <w:t xml:space="preserve">, </w:t>
      </w:r>
      <w:hyperlink r:id="rId18">
        <w:r>
          <w:rPr>
            <w:rFonts w:ascii="Times New Roman" w:cs="Times New Roman" w:eastAsia="Times New Roman" w:hAnsi="Times New Roman"/>
            <w:sz w:val="14"/>
            <w:szCs w:val="14"/>
            <w:u w:val="single" w:color="auto"/>
            <w:color w:val="0000FF"/>
          </w:rPr>
          <w:t>March 27, 2026</w:t>
        </w:r>
      </w:hyperlink>
      <w:r>
        <w:rPr>
          <w:rFonts w:ascii="Times New Roman" w:cs="Times New Roman" w:eastAsia="Times New Roman" w:hAnsi="Times New Roman"/>
          <w:sz w:val="14"/>
          <w:szCs w:val="14"/>
          <w:color w:val="auto"/>
        </w:rPr>
        <w:t xml:space="preserve">, </w:t>
      </w:r>
      <w:hyperlink r:id="rId19">
        <w:r>
          <w:rPr>
            <w:rFonts w:ascii="Times New Roman" w:cs="Times New Roman" w:eastAsia="Times New Roman" w:hAnsi="Times New Roman"/>
            <w:sz w:val="14"/>
            <w:szCs w:val="14"/>
            <w:u w:val="single" w:color="auto"/>
            <w:color w:val="0000FF"/>
          </w:rPr>
          <w:t>April 10, 2026</w:t>
        </w:r>
      </w:hyperlink>
      <w:r>
        <w:rPr>
          <w:rFonts w:ascii="Times New Roman" w:cs="Times New Roman" w:eastAsia="Times New Roman" w:hAnsi="Times New Roman"/>
          <w:sz w:val="14"/>
          <w:szCs w:val="14"/>
          <w:color w:val="auto"/>
        </w:rPr>
        <w:t xml:space="preserve">, </w:t>
      </w:r>
      <w:hyperlink r:id="rId20">
        <w:r>
          <w:rPr>
            <w:rFonts w:ascii="Times New Roman" w:cs="Times New Roman" w:eastAsia="Times New Roman" w:hAnsi="Times New Roman"/>
            <w:sz w:val="14"/>
            <w:szCs w:val="14"/>
            <w:u w:val="single" w:color="auto"/>
            <w:color w:val="0000FF"/>
          </w:rPr>
          <w:t>June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1">
        <w:r>
          <w:rPr>
            <w:rFonts w:ascii="Times New Roman" w:cs="Times New Roman" w:eastAsia="Times New Roman" w:hAnsi="Times New Roman"/>
            <w:sz w:val="14"/>
            <w:szCs w:val="14"/>
            <w:u w:val="single" w:color="auto"/>
            <w:color w:val="0000FF"/>
          </w:rPr>
          <w:t>June 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 each case, excluding any information furnished and not filed with the Commission); and</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33"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Registrant’s Class A Common Stock contained in our Registration Statement on </w:t>
      </w:r>
      <w:hyperlink r:id="rId22">
        <w:r>
          <w:rPr>
            <w:rFonts w:ascii="Times New Roman" w:cs="Times New Roman" w:eastAsia="Times New Roman" w:hAnsi="Times New Roman"/>
            <w:sz w:val="14"/>
            <w:szCs w:val="14"/>
            <w:u w:val="single" w:color="auto"/>
            <w:color w:val="0000FF"/>
          </w:rPr>
          <w:t>Form 8-A</w:t>
        </w:r>
      </w:hyperlink>
      <w:r>
        <w:rPr>
          <w:rFonts w:ascii="Times New Roman" w:cs="Times New Roman" w:eastAsia="Times New Roman" w:hAnsi="Times New Roman"/>
          <w:sz w:val="14"/>
          <w:szCs w:val="14"/>
          <w:color w:val="auto"/>
        </w:rPr>
        <w:t xml:space="preserve">, filed on July 20, 2017, as the description therein has been updated and superseded by the description of securities contained in Exhibit 99.1 to our Current Report on </w:t>
      </w:r>
      <w:hyperlink r:id="rId23">
        <w:r>
          <w:rPr>
            <w:rFonts w:ascii="Times New Roman" w:cs="Times New Roman" w:eastAsia="Times New Roman" w:hAnsi="Times New Roman"/>
            <w:sz w:val="14"/>
            <w:szCs w:val="14"/>
            <w:u w:val="single" w:color="auto"/>
            <w:color w:val="0000FF"/>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June 29, 2023, including any amendments or reports filed for the purpose of updating the description.</w:t>
      </w:r>
    </w:p>
    <w:p>
      <w:pPr>
        <w:spacing w:after="0" w:line="115" w:lineRule="exact"/>
        <w:rPr>
          <w:rFonts w:ascii="Times New Roman" w:cs="Times New Roman" w:eastAsia="Times New Roman" w:hAnsi="Times New Roman"/>
          <w:sz w:val="14"/>
          <w:szCs w:val="14"/>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all other reports and documents subsequently filed by the Registrant pursuant to Sections 13(a), 13(c), 14 and 15(d) of the Securities Exchange Act of 1934 (the “Exchange Act”), prior to the filing of a post-effective amendment to this Registration Statement which indicates that all securities offered have been sold or which deregisters all securities remaining unsold, shall be deemed to be incorporated by reference in this Registration Statement and to be part hereof from the date of filing of such reports or documents.</w:t>
      </w:r>
    </w:p>
    <w:p>
      <w:pPr>
        <w:spacing w:after="0" w:line="104" w:lineRule="exact"/>
        <w:rPr>
          <w:rFonts w:ascii="Times New Roman" w:cs="Times New Roman" w:eastAsia="Times New Roman" w:hAnsi="Times New Roman"/>
          <w:sz w:val="14"/>
          <w:szCs w:val="14"/>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80"/>
          </w:cols>
          <w:pgMar w:left="300" w:top="96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4. Description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Interests of Named Experts and Counsel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Indemnification of Directors and Officers</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A similar standard is applicable in the case of derivative actions (i.e., actions by or in the right of the corporation),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second amended and restated certificate of incorporation contains provisions that limit the liability of our directors and officers for monetary damages to the fullest extent permitted by the DGCL.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Consequently, our directors will not be personally liable to us or our stockholders for monetary damages for breach of fiduciary duty as a director, except liability:</w:t>
      </w:r>
    </w:p>
    <w:p>
      <w:pPr>
        <w:spacing w:after="0" w:line="185" w:lineRule="exact"/>
        <w:rPr>
          <w:sz w:val="20"/>
          <w:szCs w:val="20"/>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duty of loyalty to our company or our stockholders;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act or omission not in good faith or that involves intentional misconduct or knowing violation of law;</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DGCL regarding unlawful dividends and stock purchases; or</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derived an improper personal benefit.</w:t>
      </w:r>
    </w:p>
    <w:p>
      <w:pPr>
        <w:spacing w:after="0" w:line="20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57" w:lineRule="exact"/>
        <w:rPr>
          <w:sz w:val="20"/>
          <w:szCs w:val="20"/>
          <w:color w:val="auto"/>
        </w:rPr>
      </w:pPr>
    </w:p>
    <w:p>
      <w:pPr>
        <w:jc w:val="both"/>
        <w:ind w:right="240" w:firstLine="347"/>
        <w:spacing w:after="0" w:line="264"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our current directors and officers containing provisions that are in some respects broader than the specific indemnification provisions contained in the DGCL.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also intend to enter into indemnification agreements with our future directors and officers.</w:t>
      </w:r>
    </w:p>
    <w:p>
      <w:pPr>
        <w:spacing w:after="0" w:line="162" w:lineRule="exact"/>
        <w:rPr>
          <w:sz w:val="20"/>
          <w:szCs w:val="20"/>
          <w:color w:val="auto"/>
        </w:rPr>
      </w:pPr>
    </w:p>
    <w:p>
      <w:pPr>
        <w:ind w:right="120" w:firstLine="347"/>
        <w:spacing w:after="0" w:line="287" w:lineRule="auto"/>
        <w:rPr>
          <w:sz w:val="20"/>
          <w:szCs w:val="20"/>
          <w:color w:val="auto"/>
        </w:rPr>
      </w:pPr>
      <w:r>
        <w:rPr>
          <w:rFonts w:ascii="Times New Roman" w:cs="Times New Roman" w:eastAsia="Times New Roman" w:hAnsi="Times New Roman"/>
          <w:sz w:val="14"/>
          <w:szCs w:val="14"/>
          <w:color w:val="auto"/>
        </w:rPr>
        <w:t>We maintain liability insurance policies that indemnify our directors and officers against various liabilities, including certain liabilities under arising under the Securities Act and the Exchange Act, that may be incurred by them in their capacity as such.</w:t>
      </w:r>
    </w:p>
    <w:p>
      <w:pPr>
        <w:spacing w:after="0" w:line="145" w:lineRule="exact"/>
        <w:rPr>
          <w:sz w:val="20"/>
          <w:szCs w:val="20"/>
          <w:color w:val="auto"/>
        </w:rPr>
      </w:pPr>
    </w:p>
    <w:p>
      <w:pPr>
        <w:ind w:right="300" w:firstLine="347"/>
        <w:spacing w:after="0" w:line="28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Commission, such indemnification is against public policy as expressed in the Securities Act and is therefore unenforceable.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Exemption from Registration Claimed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1">
            <w:col w:w="11280"/>
          </w:cols>
          <w:pgMar w:left="300" w:top="95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8. Exhibits.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83"/>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40" w:type="dxa"/>
            <w:vAlign w:val="bottom"/>
            <w:gridSpan w:val="5"/>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83"/>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40" w:type="dxa"/>
            <w:vAlign w:val="bottom"/>
            <w:tcBorders>
              <w:top w:val="single" w:sz="8" w:color="auto"/>
            </w:tcBorders>
            <w:gridSpan w:val="10"/>
          </w:tcPr>
          <w:p>
            <w:pPr>
              <w:spacing w:after="0"/>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Second Amended and Restated Certificate of Incorporation (incorporated by reference to Exhibit 3.2 of the Company’s Current Report on Form 8-K filed with the Commission on</w:t>
              </w:r>
            </w:hyperlink>
          </w:p>
        </w:tc>
      </w:tr>
      <w:tr>
        <w:trPr>
          <w:trHeight w:val="129"/>
        </w:trPr>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2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June 1, 2023).</w:t>
              </w:r>
            </w:hyperlink>
          </w:p>
        </w:tc>
        <w:tc>
          <w:tcPr>
            <w:tcW w:w="2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98"/>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5">
              <w:r>
                <w:rPr>
                  <w:rFonts w:ascii="Times New Roman" w:cs="Times New Roman" w:eastAsia="Times New Roman" w:hAnsi="Times New Roman"/>
                  <w:sz w:val="14"/>
                  <w:szCs w:val="14"/>
                  <w:color w:val="0000FF"/>
                </w:rPr>
                <w:t>Amended and Restated Bylaws (incorporated by reference to Exhibit 3.3 of the Company’s Current Report on Form 8-K filed with the Commission on June 1, 2023).</w:t>
              </w:r>
            </w:hyperlink>
          </w:p>
        </w:tc>
        <w:tc>
          <w:tcPr>
            <w:tcW w:w="760" w:type="dxa"/>
            <w:vAlign w:val="bottom"/>
            <w:gridSpan w:val="2"/>
          </w:tcPr>
          <w:p>
            <w:pPr>
              <w:spacing w:after="0"/>
              <w:rPr>
                <w:sz w:val="24"/>
                <w:szCs w:val="24"/>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Opinion of Jones Day.</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Consent of BDO USA, P.C.</w:t>
            </w:r>
          </w:p>
        </w:tc>
        <w:tc>
          <w:tcPr>
            <w:tcW w:w="8560" w:type="dxa"/>
            <w:vAlign w:val="bottom"/>
            <w:gridSpan w:val="6"/>
          </w:tcPr>
          <w:p>
            <w:pPr>
              <w:spacing w:after="0"/>
              <w:rPr>
                <w:sz w:val="24"/>
                <w:szCs w:val="24"/>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Consent of Jones Day (included in Exhibit 5.1).</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Power of Attorney (included in the signature page to this Registration Statement).</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6">
              <w:r>
                <w:rPr>
                  <w:rFonts w:ascii="Times New Roman" w:cs="Times New Roman" w:eastAsia="Times New Roman" w:hAnsi="Times New Roman"/>
                  <w:sz w:val="14"/>
                  <w:szCs w:val="14"/>
                  <w:color w:val="0000FF"/>
                </w:rPr>
                <w:t>Cibus, Inc. 2025 Employee Stock Purchase Plan (incorporated by reference to Exhibit 10.1 to the Company’s Form 8-K filed with the SEC on May 27, 2025).</w:t>
              </w:r>
            </w:hyperlink>
          </w:p>
        </w:tc>
        <w:tc>
          <w:tcPr>
            <w:tcW w:w="1180" w:type="dxa"/>
            <w:vAlign w:val="bottom"/>
            <w:gridSpan w:val="3"/>
          </w:tcPr>
          <w:p>
            <w:pPr>
              <w:spacing w:after="0"/>
              <w:rPr>
                <w:sz w:val="24"/>
                <w:szCs w:val="24"/>
                <w:color w:val="auto"/>
              </w:rPr>
            </w:pPr>
          </w:p>
        </w:tc>
      </w:tr>
      <w:tr>
        <w:trPr>
          <w:trHeight w:val="309"/>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Filing Fee Table.</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Undertakings</w:t>
      </w:r>
    </w:p>
    <w:p>
      <w:pPr>
        <w:spacing w:after="0" w:line="149" w:lineRule="exact"/>
        <w:rPr>
          <w:sz w:val="20"/>
          <w:szCs w:val="20"/>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99" w:lineRule="exact"/>
        <w:rPr>
          <w:rFonts w:ascii="Times New Roman" w:cs="Times New Roman" w:eastAsia="Times New Roman" w:hAnsi="Times New Roman"/>
          <w:sz w:val="14"/>
          <w:szCs w:val="14"/>
          <w:color w:val="auto"/>
        </w:rPr>
      </w:pPr>
    </w:p>
    <w:p>
      <w:pPr>
        <w:ind w:left="1340" w:hanging="210"/>
        <w:spacing w:after="0"/>
        <w:tabs>
          <w:tab w:leader="none" w:pos="13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99" w:lineRule="exact"/>
        <w:rPr>
          <w:rFonts w:ascii="Times New Roman" w:cs="Times New Roman" w:eastAsia="Times New Roman" w:hAnsi="Times New Roman"/>
          <w:sz w:val="14"/>
          <w:szCs w:val="14"/>
          <w:color w:val="auto"/>
        </w:rPr>
      </w:pPr>
    </w:p>
    <w:p>
      <w:pPr>
        <w:ind w:left="1740" w:hanging="176"/>
        <w:spacing w:after="0"/>
        <w:tabs>
          <w:tab w:leader="none" w:pos="1740" w:val="left"/>
        </w:tabs>
        <w:numPr>
          <w:ilvl w:val="2"/>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99" w:lineRule="exact"/>
        <w:rPr>
          <w:rFonts w:ascii="Times New Roman" w:cs="Times New Roman" w:eastAsia="Times New Roman" w:hAnsi="Times New Roman"/>
          <w:sz w:val="14"/>
          <w:szCs w:val="14"/>
          <w:color w:val="auto"/>
        </w:rPr>
      </w:pPr>
    </w:p>
    <w:p>
      <w:pPr>
        <w:ind w:right="80" w:firstLine="1564"/>
        <w:spacing w:after="0" w:line="261" w:lineRule="auto"/>
        <w:tabs>
          <w:tab w:leader="none" w:pos="1767" w:val="left"/>
        </w:tabs>
        <w:numPr>
          <w:ilvl w:val="2"/>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Times New Roman" w:cs="Times New Roman" w:eastAsia="Times New Roman" w:hAnsi="Times New Roman"/>
          <w:sz w:val="14"/>
          <w:szCs w:val="14"/>
          <w:color w:val="auto"/>
        </w:rPr>
      </w:pPr>
    </w:p>
    <w:p>
      <w:pPr>
        <w:ind w:right="380" w:firstLine="1564"/>
        <w:spacing w:after="0" w:line="287" w:lineRule="auto"/>
        <w:tabs>
          <w:tab w:leader="none" w:pos="1806" w:val="left"/>
        </w:tabs>
        <w:numPr>
          <w:ilvl w:val="2"/>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43"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and (a)(1)(ii) do not apply if the information required to be included in a post-effective amendment by those paragraphs is contained in reports filed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furnished to the Commission by the Registrant pursuant to Section 13 or Section 15(d) of the Exchange Act that are incorporated by reference in this Registration Statement.</w:t>
      </w:r>
    </w:p>
    <w:p>
      <w:pPr>
        <w:spacing w:after="0" w:line="143" w:lineRule="exact"/>
        <w:rPr>
          <w:sz w:val="20"/>
          <w:szCs w:val="20"/>
          <w:color w:val="auto"/>
        </w:rPr>
      </w:pPr>
    </w:p>
    <w:p>
      <w:pPr>
        <w:ind w:right="160" w:firstLine="1130"/>
        <w:spacing w:after="0" w:line="287" w:lineRule="auto"/>
        <w:tabs>
          <w:tab w:leader="none" w:pos="1326"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5" w:lineRule="exact"/>
        <w:rPr>
          <w:rFonts w:ascii="Times New Roman" w:cs="Times New Roman" w:eastAsia="Times New Roman" w:hAnsi="Times New Roman"/>
          <w:sz w:val="14"/>
          <w:szCs w:val="14"/>
          <w:color w:val="auto"/>
        </w:rPr>
      </w:pPr>
    </w:p>
    <w:p>
      <w:pPr>
        <w:ind w:left="1340" w:hanging="210"/>
        <w:spacing w:after="0"/>
        <w:tabs>
          <w:tab w:leader="none" w:pos="13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99" w:lineRule="exact"/>
        <w:rPr>
          <w:rFonts w:ascii="Times New Roman" w:cs="Times New Roman" w:eastAsia="Times New Roman" w:hAnsi="Times New Roman"/>
          <w:sz w:val="14"/>
          <w:szCs w:val="14"/>
          <w:color w:val="auto"/>
        </w:rPr>
      </w:pPr>
    </w:p>
    <w:p>
      <w:pPr>
        <w:jc w:val="both"/>
        <w:ind w:right="60" w:firstLine="351"/>
        <w:spacing w:after="0" w:line="264" w:lineRule="auto"/>
        <w:tabs>
          <w:tab w:leader="none" w:pos="54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ectPr>
          <w:pgSz w:w="11900" w:h="16838" w:orient="portrait"/>
          <w:cols w:equalWidth="0" w:num="1">
            <w:col w:w="11280"/>
          </w:cols>
          <w:pgMar w:left="300" w:top="961" w:right="319" w:bottom="1440" w:gutter="0" w:footer="0" w:header="0"/>
        </w:sectPr>
      </w:pPr>
    </w:p>
    <w:bookmarkStart w:id="4" w:name="page5"/>
    <w:bookmarkEnd w:id="4"/>
    <w:p>
      <w:pPr>
        <w:ind w:left="-351" w:firstLine="351"/>
        <w:spacing w:after="0" w:line="259" w:lineRule="auto"/>
        <w:tabs>
          <w:tab w:leader="none" w:pos="18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09"/>
          </w:cols>
          <w:pgMar w:left="651" w:top="96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23, 2026.</w:t>
      </w:r>
    </w:p>
    <w:p>
      <w:pPr>
        <w:spacing w:after="0" w:line="143" w:lineRule="exact"/>
        <w:rPr>
          <w:sz w:val="20"/>
          <w:szCs w:val="20"/>
          <w:color w:val="auto"/>
        </w:rPr>
      </w:pPr>
    </w:p>
    <w:tbl>
      <w:tblPr>
        <w:tblLayout w:type="fixed"/>
        <w:tblInd w:w="5720" w:type="dxa"/>
        <w:tblCellMar>
          <w:top w:w="0" w:type="dxa"/>
          <w:left w:w="0" w:type="dxa"/>
          <w:bottom w:w="0" w:type="dxa"/>
          <w:right w:w="0" w:type="dxa"/>
        </w:tblCellMar>
      </w:tblPr>
      <w:tr>
        <w:trPr>
          <w:trHeight w:val="186"/>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Cibus, Inc.</w:t>
            </w:r>
          </w:p>
        </w:tc>
        <w:tc>
          <w:tcPr>
            <w:tcW w:w="4440" w:type="dxa"/>
            <w:vAlign w:val="bottom"/>
          </w:tcPr>
          <w:p>
            <w:pPr>
              <w:spacing w:after="0"/>
              <w:rPr>
                <w:sz w:val="16"/>
                <w:szCs w:val="16"/>
                <w:color w:val="auto"/>
              </w:rPr>
            </w:pPr>
          </w:p>
        </w:tc>
      </w:tr>
      <w:tr>
        <w:trPr>
          <w:trHeight w:val="49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Craig Wichner</w:t>
            </w:r>
          </w:p>
        </w:tc>
      </w:tr>
      <w:tr>
        <w:trPr>
          <w:trHeight w:val="18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Wichner</w:t>
            </w:r>
          </w:p>
        </w:tc>
      </w:tr>
      <w:tr>
        <w:trPr>
          <w:trHeight w:val="202"/>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undersigned directors and officers of Cibus, Inc. hereby appoint each of Craig Wichner and Cornelis (Carlo) Broos as attorneys-in-fact for the undersigned, with full power of substitution for, and in the name, place and stead of the undersigned, to sign and file with the Securities and Exchange Commission under the Securities Act of 1933, any and all amendments (including post-effective amendments) and exhibits to this Registration Statement on Form S-8 and any and all applications and other documents to be filed with the Securities and Exchange Commission pertaining to the registration of the securities covered hereby, with full power and authority to do and perform any and all acts and things whatsoever requisite and necessary or desirable, hereby ratifying and confirming all that said attorney-in-fact, or his substitute or substitutes, may lawfully do or cause to be done by virtue hereof.</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71"/>
        </w:trPr>
        <w:tc>
          <w:tcPr>
            <w:tcW w:w="3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Craig Wichner</w:t>
            </w:r>
          </w:p>
        </w:tc>
        <w:tc>
          <w:tcPr>
            <w:tcW w:w="80" w:type="dxa"/>
            <w:vAlign w:val="bottom"/>
          </w:tcPr>
          <w:p>
            <w:pPr>
              <w:spacing w:after="0"/>
              <w:rPr>
                <w:sz w:val="14"/>
                <w:szCs w:val="14"/>
                <w:color w:val="auto"/>
              </w:rPr>
            </w:pPr>
          </w:p>
        </w:tc>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c>
          <w:tcPr>
            <w:tcW w:w="6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Craig Wichner</w:t>
            </w:r>
          </w:p>
        </w:tc>
        <w:tc>
          <w:tcPr>
            <w:tcW w:w="80" w:type="dxa"/>
            <w:vAlign w:val="bottom"/>
          </w:tcPr>
          <w:p>
            <w:pPr>
              <w:spacing w:after="0"/>
              <w:rPr>
                <w:sz w:val="15"/>
                <w:szCs w:val="15"/>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Cornelis (Carlo) Broos</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Cornelis (Carlo) Broos</w:t>
            </w:r>
          </w:p>
        </w:tc>
        <w:tc>
          <w:tcPr>
            <w:tcW w:w="80" w:type="dxa"/>
            <w:vAlign w:val="bottom"/>
          </w:tcPr>
          <w:p>
            <w:pPr>
              <w:spacing w:after="0"/>
              <w:rPr>
                <w:sz w:val="15"/>
                <w:szCs w:val="15"/>
                <w:color w:val="auto"/>
              </w:rPr>
            </w:pPr>
          </w:p>
        </w:tc>
        <w:tc>
          <w:tcPr>
            <w:tcW w:w="5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Finn</w:t>
            </w:r>
          </w:p>
        </w:tc>
        <w:tc>
          <w:tcPr>
            <w:tcW w:w="80" w:type="dxa"/>
            <w:vAlign w:val="bottom"/>
          </w:tcPr>
          <w:p>
            <w:pPr>
              <w:spacing w:after="0"/>
              <w:rPr>
                <w:sz w:val="24"/>
                <w:szCs w:val="24"/>
                <w:color w:val="auto"/>
              </w:rPr>
            </w:pPr>
          </w:p>
        </w:tc>
        <w:tc>
          <w:tcPr>
            <w:tcW w:w="5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 Finn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Rory Riggs</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Rory Riggs</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Jean-Pierre Lehmann</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Jean-Pierre Lehmann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Gerhard Prante</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Gerhard Prante</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August Moretti</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Moretti</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Kimberly A. Box</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Kimberly A. Box</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9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Thomas Urban</w:t>
            </w:r>
          </w:p>
        </w:tc>
        <w:tc>
          <w:tcPr>
            <w:tcW w:w="80" w:type="dxa"/>
            <w:vAlign w:val="bottom"/>
          </w:tcPr>
          <w:p>
            <w:pPr>
              <w:spacing w:after="0"/>
              <w:rPr>
                <w:sz w:val="24"/>
                <w:szCs w:val="24"/>
                <w:color w:val="auto"/>
              </w:rPr>
            </w:pPr>
          </w:p>
        </w:tc>
        <w:tc>
          <w:tcPr>
            <w:tcW w:w="5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2026</w:t>
            </w:r>
          </w:p>
        </w:tc>
      </w:tr>
      <w:tr>
        <w:trPr>
          <w:trHeight w:val="175"/>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Thomas Urban</w:t>
            </w:r>
          </w:p>
        </w:tc>
        <w:tc>
          <w:tcPr>
            <w:tcW w:w="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r>
    </w:tbl>
    <w:p>
      <w:pPr>
        <w:sectPr>
          <w:pgSz w:w="11900" w:h="16838" w:orient="portrait"/>
          <w:cols w:equalWidth="0" w:num="1">
            <w:col w:w="11280"/>
          </w:cols>
          <w:pgMar w:left="300" w:top="929" w:right="319" w:bottom="1440" w:gutter="0" w:footer="0" w:header="0"/>
        </w:sectPr>
      </w:pPr>
    </w:p>
    <w:bookmarkStart w:id="6" w:name="page7"/>
    <w:bookmarkEnd w:id="6"/>
    <w:p>
      <w:pPr>
        <w:ind w:left="1058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Calculation of Filing Fee Table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S-8</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Type)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Cibus,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1 –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000" w:type="dxa"/>
            <w:vAlign w:val="bottom"/>
            <w:tcBorders>
              <w:top w:val="single" w:sz="8" w:color="auto"/>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24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Security Class</w:t>
            </w:r>
          </w:p>
        </w:tc>
        <w:tc>
          <w:tcPr>
            <w:tcW w:w="134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Fee Calculation</w:t>
            </w:r>
          </w:p>
        </w:tc>
        <w:tc>
          <w:tcPr>
            <w:tcW w:w="13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58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12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Fee Rate</w:t>
            </w:r>
          </w:p>
        </w:tc>
        <w:tc>
          <w:tcPr>
            <w:tcW w:w="140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0"/>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36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4"/>
                <w:szCs w:val="14"/>
                <w:b w:val="1"/>
                <w:bCs w:val="1"/>
                <w:color w:val="auto"/>
                <w:w w:val="98"/>
              </w:rPr>
              <w:t xml:space="preserve">Registered </w:t>
            </w:r>
            <w:r>
              <w:rPr>
                <w:rFonts w:ascii="Times New Roman" w:cs="Times New Roman" w:eastAsia="Times New Roman" w:hAnsi="Times New Roman"/>
                <w:sz w:val="18"/>
                <w:szCs w:val="18"/>
                <w:b w:val="1"/>
                <w:bCs w:val="1"/>
                <w:color w:val="auto"/>
                <w:w w:val="98"/>
                <w:vertAlign w:val="superscript"/>
              </w:rPr>
              <w:t>(1)</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1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Registration Fee</w:t>
            </w:r>
          </w:p>
        </w:tc>
      </w:tr>
      <w:tr>
        <w:trPr>
          <w:trHeight w:val="106"/>
        </w:trPr>
        <w:tc>
          <w:tcPr>
            <w:tcW w:w="10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58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Offering Price</w:t>
            </w:r>
          </w:p>
        </w:tc>
        <w:tc>
          <w:tcPr>
            <w:tcW w:w="2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r>
      <w:tr>
        <w:trPr>
          <w:trHeight w:val="138"/>
        </w:trPr>
        <w:tc>
          <w:tcPr>
            <w:tcW w:w="1000" w:type="dxa"/>
            <w:vAlign w:val="bottom"/>
            <w:tcBorders>
              <w:left w:val="single" w:sz="8" w:color="auto"/>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8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r>
      <w:tr>
        <w:trPr>
          <w:trHeight w:val="188"/>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58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142"/>
        </w:trPr>
        <w:tc>
          <w:tcPr>
            <w:tcW w:w="1000" w:type="dxa"/>
            <w:vAlign w:val="bottom"/>
            <w:tcBorders>
              <w:left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Class A Common</w:t>
            </w:r>
          </w:p>
        </w:tc>
        <w:tc>
          <w:tcPr>
            <w:tcW w:w="13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 xml:space="preserve">652,768 </w:t>
            </w:r>
            <w:r>
              <w:rPr>
                <w:rFonts w:ascii="Times New Roman" w:cs="Times New Roman" w:eastAsia="Times New Roman" w:hAnsi="Times New Roman"/>
                <w:sz w:val="16"/>
                <w:szCs w:val="16"/>
                <w:color w:val="auto"/>
                <w:vertAlign w:val="superscript"/>
              </w:rPr>
              <w:t>(2)</w:t>
            </w:r>
          </w:p>
        </w:tc>
        <w:tc>
          <w:tcPr>
            <w:tcW w:w="12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 xml:space="preserve">$1.30 </w:t>
            </w:r>
            <w:r>
              <w:rPr>
                <w:rFonts w:ascii="Times New Roman" w:cs="Times New Roman" w:eastAsia="Times New Roman" w:hAnsi="Times New Roman"/>
                <w:sz w:val="16"/>
                <w:szCs w:val="16"/>
                <w:color w:val="auto"/>
                <w:vertAlign w:val="superscript"/>
              </w:rPr>
              <w:t>(3)</w:t>
            </w:r>
          </w:p>
        </w:tc>
        <w:tc>
          <w:tcPr>
            <w:tcW w:w="15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$848,598.40</w:t>
            </w:r>
          </w:p>
        </w:tc>
        <w:tc>
          <w:tcPr>
            <w:tcW w:w="21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$138.10 per $1,000,000</w:t>
            </w:r>
          </w:p>
        </w:tc>
        <w:tc>
          <w:tcPr>
            <w:tcW w:w="14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$117.19</w:t>
            </w: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rPr>
              <w:t>Stock, par value</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r>
      <w:tr>
        <w:trPr>
          <w:trHeight w:val="184"/>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$0.0001 per share</w:t>
            </w: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r>
      <w:tr>
        <w:trPr>
          <w:trHeight w:val="171"/>
        </w:trPr>
        <w:tc>
          <w:tcPr>
            <w:tcW w:w="10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3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$117.19</w:t>
            </w:r>
          </w:p>
        </w:tc>
      </w:tr>
      <w:tr>
        <w:trPr>
          <w:trHeight w:val="171"/>
        </w:trPr>
        <w:tc>
          <w:tcPr>
            <w:tcW w:w="10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3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71"/>
        </w:trPr>
        <w:tc>
          <w:tcPr>
            <w:tcW w:w="1000" w:type="dxa"/>
            <w:vAlign w:val="bottom"/>
            <w:tcBorders>
              <w:left w:val="single" w:sz="8" w:color="auto"/>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3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$117.19</w:t>
            </w:r>
          </w:p>
        </w:tc>
      </w:tr>
    </w:tbl>
    <w:p>
      <w:pPr>
        <w:spacing w:after="0" w:line="227" w:lineRule="exact"/>
        <w:rPr>
          <w:sz w:val="20"/>
          <w:szCs w:val="20"/>
          <w:color w:val="auto"/>
        </w:rPr>
      </w:pPr>
    </w:p>
    <w:p>
      <w:pPr>
        <w:ind w:right="120" w:firstLine="5"/>
        <w:spacing w:after="0" w:line="290" w:lineRule="auto"/>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this Registration Statement shall also include any additional shares of Class A common stock, par value $0.0001 per share (the “</w:t>
      </w:r>
      <w:r>
        <w:rPr>
          <w:rFonts w:ascii="Times New Roman" w:cs="Times New Roman" w:eastAsia="Times New Roman" w:hAnsi="Times New Roman"/>
          <w:sz w:val="14"/>
          <w:szCs w:val="14"/>
          <w:b w:val="1"/>
          <w:bCs w:val="1"/>
          <w:i w:val="1"/>
          <w:iCs w:val="1"/>
          <w:color w:val="auto"/>
        </w:rPr>
        <w:t>Class A Common Stock</w:t>
      </w:r>
      <w:r>
        <w:rPr>
          <w:rFonts w:ascii="Times New Roman" w:cs="Times New Roman" w:eastAsia="Times New Roman" w:hAnsi="Times New Roman"/>
          <w:sz w:val="14"/>
          <w:szCs w:val="14"/>
          <w:color w:val="auto"/>
        </w:rPr>
        <w:t>”), of Cibus, Inc. (the “</w:t>
      </w:r>
      <w:r>
        <w:rPr>
          <w:rFonts w:ascii="Times New Roman" w:cs="Times New Roman" w:eastAsia="Times New Roman" w:hAnsi="Times New Roman"/>
          <w:sz w:val="14"/>
          <w:szCs w:val="14"/>
          <w:b w:val="1"/>
          <w:bCs w:val="1"/>
          <w:i w:val="1"/>
          <w:iCs w:val="1"/>
          <w:color w:val="auto"/>
        </w:rPr>
        <w:t>Registrant</w:t>
      </w:r>
      <w:r>
        <w:rPr>
          <w:rFonts w:ascii="Times New Roman" w:cs="Times New Roman" w:eastAsia="Times New Roman" w:hAnsi="Times New Roman"/>
          <w:sz w:val="14"/>
          <w:szCs w:val="14"/>
          <w:color w:val="auto"/>
        </w:rPr>
        <w:t>”) that may become issuable by reason of stock dividends, stock splits, recapitalization or similar transactions.</w:t>
      </w:r>
    </w:p>
    <w:p>
      <w:pPr>
        <w:spacing w:after="0" w:line="12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shares of Class A Common Stock available for issuance under the Cibus, Inc. 2025 Employee Stock Purchase Plan being registered pursuant to this Registration Statement.</w:t>
      </w:r>
    </w:p>
    <w:p>
      <w:pPr>
        <w:spacing w:after="0" w:line="178" w:lineRule="exact"/>
        <w:rPr>
          <w:rFonts w:ascii="Times New Roman" w:cs="Times New Roman" w:eastAsia="Times New Roman" w:hAnsi="Times New Roman"/>
          <w:sz w:val="14"/>
          <w:szCs w:val="14"/>
          <w:color w:val="auto"/>
        </w:rPr>
      </w:pPr>
    </w:p>
    <w:p>
      <w:pPr>
        <w:ind w:right="200" w:firstLine="5"/>
        <w:spacing w:after="0" w:line="287" w:lineRule="auto"/>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amount of the registration fee pursuant to Rule 457(c) and (h) under the Securities Act, based on the average of the high and low prices of the Class A Common Stock as reported by the Nasdaq Stock Market LLC on June 15, 2026.</w:t>
      </w:r>
    </w:p>
    <w:p>
      <w:pPr>
        <w:sectPr>
          <w:pgSz w:w="11900" w:h="16838" w:orient="portrait"/>
          <w:cols w:equalWidth="0" w:num="1">
            <w:col w:w="11300"/>
          </w:cols>
          <w:pgMar w:left="300" w:top="1141" w:right="299" w:bottom="1440" w:gutter="0" w:footer="0" w:header="0"/>
        </w:sectPr>
      </w:pPr>
    </w:p>
    <w:bookmarkStart w:id="7" w:name="page8"/>
    <w:bookmarkEnd w:id="7"/>
    <w:p>
      <w:pPr>
        <w:spacing w:after="0" w:line="287"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87" w:lineRule="auto"/>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87"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15" Type="http://schemas.openxmlformats.org/officeDocument/2006/relationships/hyperlink" Target="https://www.sec.gov/ix?doc=/Archives/edgar/data/1705843/000162828026018815/cbus-20251231.htm" TargetMode="External"/><Relationship Id="rId16" Type="http://schemas.openxmlformats.org/officeDocument/2006/relationships/hyperlink" Target="https://www.sec.gov/ix?doc=/Archives/edgar/data/0001705843/000162828026035159/cbus-20260331.htm" TargetMode="External"/><Relationship Id="rId17" Type="http://schemas.openxmlformats.org/officeDocument/2006/relationships/hyperlink" Target="https://www.sec.gov/ix?doc=/Archives/edgar/data/1705843/000119312526030591/d54299d8k.htm" TargetMode="External"/><Relationship Id="rId18" Type="http://schemas.openxmlformats.org/officeDocument/2006/relationships/hyperlink" Target="https://www.sec.gov/ix?doc=/Archives/edgar/data/1705843/000119312526127706/d73414d8k.htm" TargetMode="External"/><Relationship Id="rId19" Type="http://schemas.openxmlformats.org/officeDocument/2006/relationships/hyperlink" Target="https://www.sec.gov/ix?doc=/Archives/edgar/data/1705843/000162828026024746/cbus-20260407.htm" TargetMode="External"/><Relationship Id="rId20" Type="http://schemas.openxmlformats.org/officeDocument/2006/relationships/hyperlink" Target="https://www.sec.gov/ix?doc=/Archives/edgar/data/1705843/000162828026041069/cbus-20260602.htm" TargetMode="External"/><Relationship Id="rId21" Type="http://schemas.openxmlformats.org/officeDocument/2006/relationships/hyperlink" Target="https://www.sec.gov/ix?doc=/Archives/edgar/data/1705843/000162828026041775/cbus-20260608.htm" TargetMode="External"/><Relationship Id="rId22" Type="http://schemas.openxmlformats.org/officeDocument/2006/relationships/hyperlink" Target="https://www.sec.gov/Archives/edgar/data/1705843/000119312517231512/d433769d8a12b.htm" TargetMode="External"/><Relationship Id="rId23" Type="http://schemas.openxmlformats.org/officeDocument/2006/relationships/hyperlink" Target="https://www.sec.gov/ix?doc=/Archives/edgar/data/1705843/000119312523178748/d450252d8k.htm" TargetMode="External"/><Relationship Id="rId24" Type="http://schemas.openxmlformats.org/officeDocument/2006/relationships/hyperlink" Target="https://www.sec.gov/Archives/edgar/data/1705843/000119312523158545/d487053dex32.htm" TargetMode="External"/><Relationship Id="rId25" Type="http://schemas.openxmlformats.org/officeDocument/2006/relationships/hyperlink" Target="https://www.sec.gov/Archives/edgar/data/1705843/000119312523158545/d487053dex33.htm" TargetMode="External"/><Relationship Id="rId26" Type="http://schemas.openxmlformats.org/officeDocument/2006/relationships/hyperlink" Target="https://www.sec.gov/Archives/edgar/data/1705843/000162828025027958/cibusinc2025employeestock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2026-06-23T16:40:15Z</dcterms:created>
  <dcterms:modified xsi:type="dcterms:W3CDTF">2026-06-23T16:40:15Z</dcterms:modified>
</cp:coreProperties>
</file>